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98" w:rsidRPr="00D42EB2" w:rsidRDefault="00F66398" w:rsidP="00424BC8">
      <w:pPr>
        <w:pStyle w:val="Heading2"/>
        <w:tabs>
          <w:tab w:val="left" w:pos="284"/>
        </w:tabs>
        <w:spacing w:before="0" w:line="300" w:lineRule="exact"/>
        <w:jc w:val="center"/>
        <w:rPr>
          <w:rFonts w:ascii="Gill Sans MT" w:hAnsi="Gill Sans MT"/>
          <w:color w:val="auto"/>
          <w:sz w:val="24"/>
          <w:szCs w:val="24"/>
        </w:rPr>
      </w:pPr>
    </w:p>
    <w:p w:rsidR="00373073" w:rsidRPr="00D42EB2" w:rsidRDefault="00C76F7E" w:rsidP="00424BC8">
      <w:pPr>
        <w:pStyle w:val="Heading2"/>
        <w:tabs>
          <w:tab w:val="left" w:pos="284"/>
        </w:tabs>
        <w:spacing w:before="0" w:line="300" w:lineRule="exact"/>
        <w:jc w:val="center"/>
        <w:rPr>
          <w:rFonts w:ascii="Gill Sans MT" w:hAnsi="Gill Sans MT"/>
          <w:color w:val="auto"/>
          <w:sz w:val="28"/>
          <w:szCs w:val="28"/>
        </w:rPr>
      </w:pPr>
      <w:r w:rsidRPr="00D42EB2">
        <w:rPr>
          <w:rFonts w:ascii="Gill Sans MT" w:hAnsi="Gill Sans MT"/>
          <w:color w:val="auto"/>
          <w:sz w:val="28"/>
          <w:szCs w:val="28"/>
        </w:rPr>
        <w:t>ANNEX</w:t>
      </w:r>
      <w:r w:rsidR="004C2FC4">
        <w:rPr>
          <w:rFonts w:ascii="Gill Sans MT" w:hAnsi="Gill Sans MT"/>
          <w:color w:val="auto"/>
          <w:sz w:val="28"/>
          <w:szCs w:val="28"/>
        </w:rPr>
        <w:t>-11</w:t>
      </w:r>
      <w:r w:rsidR="00EF4F2C" w:rsidRPr="00D42EB2">
        <w:rPr>
          <w:rFonts w:ascii="Gill Sans MT" w:hAnsi="Gill Sans MT"/>
          <w:color w:val="auto"/>
          <w:sz w:val="28"/>
          <w:szCs w:val="28"/>
        </w:rPr>
        <w:t xml:space="preserve">: </w:t>
      </w:r>
      <w:r w:rsidR="00942A04" w:rsidRPr="00D42EB2">
        <w:rPr>
          <w:rFonts w:ascii="Gill Sans MT" w:hAnsi="Gill Sans MT"/>
          <w:color w:val="auto"/>
          <w:sz w:val="28"/>
          <w:szCs w:val="28"/>
        </w:rPr>
        <w:t>Evaluation</w:t>
      </w:r>
      <w:r w:rsidR="00E74BD2" w:rsidRPr="00D42EB2">
        <w:rPr>
          <w:rFonts w:ascii="Gill Sans MT" w:hAnsi="Gill Sans MT"/>
          <w:color w:val="auto"/>
          <w:sz w:val="28"/>
          <w:szCs w:val="28"/>
        </w:rPr>
        <w:t xml:space="preserve"> Criteria</w:t>
      </w:r>
    </w:p>
    <w:p w:rsidR="00373073" w:rsidRPr="00D42EB2" w:rsidRDefault="00373073" w:rsidP="002318DB">
      <w:pPr>
        <w:pStyle w:val="Default"/>
        <w:rPr>
          <w:rFonts w:ascii="Gill Sans MT" w:hAnsi="Gill Sans MT"/>
        </w:rPr>
      </w:pPr>
    </w:p>
    <w:p w:rsidR="003D78B2" w:rsidRPr="00D42EB2" w:rsidRDefault="00F63F83" w:rsidP="007E375F">
      <w:pPr>
        <w:autoSpaceDE w:val="0"/>
        <w:autoSpaceDN w:val="0"/>
        <w:adjustRightInd w:val="0"/>
        <w:spacing w:line="240" w:lineRule="auto"/>
        <w:contextualSpacing/>
        <w:jc w:val="both"/>
        <w:rPr>
          <w:rFonts w:ascii="Gill Sans MT" w:hAnsi="Gill Sans MT" w:cs="Arial"/>
          <w:sz w:val="24"/>
          <w:szCs w:val="24"/>
        </w:rPr>
      </w:pPr>
      <w:r>
        <w:rPr>
          <w:rFonts w:ascii="Gill Sans MT" w:hAnsi="Gill Sans MT" w:cs="Arial"/>
          <w:sz w:val="24"/>
          <w:szCs w:val="24"/>
        </w:rPr>
        <w:t xml:space="preserve">After </w:t>
      </w:r>
      <w:r w:rsidR="003D78B2" w:rsidRPr="00D42EB2">
        <w:rPr>
          <w:rFonts w:ascii="Gill Sans MT" w:hAnsi="Gill Sans MT" w:cs="Arial"/>
          <w:sz w:val="24"/>
          <w:szCs w:val="24"/>
        </w:rPr>
        <w:t>final evaluation of the proposals, Save the Children</w:t>
      </w:r>
      <w:r>
        <w:rPr>
          <w:rFonts w:ascii="Gill Sans MT" w:hAnsi="Gill Sans MT" w:cs="Arial"/>
          <w:sz w:val="24"/>
          <w:szCs w:val="24"/>
        </w:rPr>
        <w:t>,</w:t>
      </w:r>
      <w:r w:rsidR="003D78B2" w:rsidRPr="00D42EB2">
        <w:rPr>
          <w:rFonts w:ascii="Gill Sans MT" w:hAnsi="Gill Sans MT" w:cs="Arial"/>
          <w:sz w:val="24"/>
          <w:szCs w:val="24"/>
        </w:rPr>
        <w:t xml:space="preserve"> will</w:t>
      </w:r>
      <w:r>
        <w:rPr>
          <w:rFonts w:ascii="Gill Sans MT" w:hAnsi="Gill Sans MT" w:cs="Arial"/>
          <w:sz w:val="24"/>
          <w:szCs w:val="24"/>
        </w:rPr>
        <w:t xml:space="preserve"> make award the contract to t</w:t>
      </w:r>
      <w:r w:rsidR="003D78B2" w:rsidRPr="00D42EB2">
        <w:rPr>
          <w:rFonts w:ascii="Gill Sans MT" w:hAnsi="Gill Sans MT" w:cs="Arial"/>
          <w:sz w:val="24"/>
          <w:szCs w:val="24"/>
        </w:rPr>
        <w:t xml:space="preserve">he </w:t>
      </w:r>
      <w:r w:rsidR="0091254A">
        <w:rPr>
          <w:rFonts w:ascii="Gill Sans MT" w:hAnsi="Gill Sans MT" w:cs="Arial"/>
          <w:sz w:val="24"/>
          <w:szCs w:val="24"/>
        </w:rPr>
        <w:t>bidder</w:t>
      </w:r>
      <w:r w:rsidR="003D78B2" w:rsidRPr="00D42EB2">
        <w:rPr>
          <w:rFonts w:ascii="Gill Sans MT" w:hAnsi="Gill Sans MT" w:cs="Arial"/>
          <w:sz w:val="24"/>
          <w:szCs w:val="24"/>
        </w:rPr>
        <w:t xml:space="preserve"> whose proposal provides the best v</w:t>
      </w:r>
      <w:r w:rsidR="007E5234">
        <w:rPr>
          <w:rFonts w:ascii="Gill Sans MT" w:hAnsi="Gill Sans MT" w:cs="Arial"/>
          <w:sz w:val="24"/>
          <w:szCs w:val="24"/>
        </w:rPr>
        <w:t xml:space="preserve">alue </w:t>
      </w:r>
      <w:r>
        <w:rPr>
          <w:rFonts w:ascii="Gill Sans MT" w:hAnsi="Gill Sans MT" w:cs="Arial"/>
          <w:sz w:val="24"/>
          <w:szCs w:val="24"/>
        </w:rPr>
        <w:t xml:space="preserve">after </w:t>
      </w:r>
      <w:r w:rsidR="007E5234">
        <w:rPr>
          <w:rFonts w:ascii="Gill Sans MT" w:hAnsi="Gill Sans MT" w:cs="Arial"/>
          <w:sz w:val="24"/>
          <w:szCs w:val="24"/>
        </w:rPr>
        <w:t>taking into</w:t>
      </w:r>
      <w:r>
        <w:rPr>
          <w:rFonts w:ascii="Gill Sans MT" w:hAnsi="Gill Sans MT" w:cs="Arial"/>
          <w:sz w:val="24"/>
          <w:szCs w:val="24"/>
        </w:rPr>
        <w:t xml:space="preserve"> account</w:t>
      </w:r>
      <w:r w:rsidR="007E5234">
        <w:rPr>
          <w:rFonts w:ascii="Gill Sans MT" w:hAnsi="Gill Sans MT" w:cs="Arial"/>
          <w:sz w:val="24"/>
          <w:szCs w:val="24"/>
        </w:rPr>
        <w:t xml:space="preserve"> </w:t>
      </w:r>
      <w:r>
        <w:rPr>
          <w:rFonts w:ascii="Gill Sans MT" w:hAnsi="Gill Sans MT" w:cs="Arial"/>
          <w:sz w:val="24"/>
          <w:szCs w:val="24"/>
        </w:rPr>
        <w:t>the</w:t>
      </w:r>
      <w:r w:rsidR="007E5234">
        <w:rPr>
          <w:rFonts w:ascii="Gill Sans MT" w:hAnsi="Gill Sans MT" w:cs="Arial"/>
          <w:sz w:val="24"/>
          <w:szCs w:val="24"/>
        </w:rPr>
        <w:t xml:space="preserve"> </w:t>
      </w:r>
      <w:r w:rsidR="0073671D">
        <w:rPr>
          <w:rFonts w:ascii="Gill Sans MT" w:hAnsi="Gill Sans MT" w:cs="Arial"/>
          <w:sz w:val="24"/>
          <w:szCs w:val="24"/>
        </w:rPr>
        <w:t>specifications</w:t>
      </w:r>
      <w:r w:rsidR="007E5234">
        <w:rPr>
          <w:rFonts w:ascii="Gill Sans MT" w:hAnsi="Gill Sans MT" w:cs="Arial"/>
          <w:sz w:val="24"/>
          <w:szCs w:val="24"/>
        </w:rPr>
        <w:t>, content</w:t>
      </w:r>
      <w:r w:rsidR="00CB0B34">
        <w:rPr>
          <w:rFonts w:ascii="Gill Sans MT" w:hAnsi="Gill Sans MT" w:cs="Arial"/>
          <w:sz w:val="24"/>
          <w:szCs w:val="24"/>
        </w:rPr>
        <w:t xml:space="preserve"> and costs</w:t>
      </w:r>
      <w:r w:rsidR="003D78B2" w:rsidRPr="00D42EB2">
        <w:rPr>
          <w:rFonts w:ascii="Gill Sans MT" w:hAnsi="Gill Sans MT" w:cs="Arial"/>
          <w:sz w:val="24"/>
          <w:szCs w:val="24"/>
        </w:rPr>
        <w:t xml:space="preserve">. </w:t>
      </w:r>
      <w:r w:rsidR="00D4193F">
        <w:rPr>
          <w:rFonts w:ascii="Gill Sans MT" w:hAnsi="Gill Sans MT" w:cs="Arial"/>
          <w:sz w:val="24"/>
          <w:szCs w:val="24"/>
        </w:rPr>
        <w:t>Specifications</w:t>
      </w:r>
      <w:r w:rsidR="00CB0B34">
        <w:rPr>
          <w:rFonts w:ascii="Gill Sans MT" w:hAnsi="Gill Sans MT" w:cs="Arial"/>
          <w:sz w:val="24"/>
          <w:szCs w:val="24"/>
        </w:rPr>
        <w:t>, Content and C</w:t>
      </w:r>
      <w:r w:rsidR="003D78B2" w:rsidRPr="00D42EB2">
        <w:rPr>
          <w:rFonts w:ascii="Gill Sans MT" w:hAnsi="Gill Sans MT" w:cs="Arial"/>
          <w:sz w:val="24"/>
          <w:szCs w:val="24"/>
        </w:rPr>
        <w:t>ost</w:t>
      </w:r>
      <w:r w:rsidR="00CB0B34">
        <w:rPr>
          <w:rFonts w:ascii="Gill Sans MT" w:hAnsi="Gill Sans MT" w:cs="Arial"/>
          <w:sz w:val="24"/>
          <w:szCs w:val="24"/>
        </w:rPr>
        <w:t>s</w:t>
      </w:r>
      <w:r w:rsidR="003D78B2" w:rsidRPr="00D42EB2">
        <w:rPr>
          <w:rFonts w:ascii="Gill Sans MT" w:hAnsi="Gill Sans MT" w:cs="Arial"/>
          <w:sz w:val="24"/>
          <w:szCs w:val="24"/>
        </w:rPr>
        <w:t xml:space="preserve"> will be evaluated relative to each other, as described herein. The </w:t>
      </w:r>
      <w:r w:rsidR="00D4193F">
        <w:rPr>
          <w:rFonts w:ascii="Gill Sans MT" w:hAnsi="Gill Sans MT" w:cs="Arial"/>
          <w:sz w:val="24"/>
          <w:szCs w:val="24"/>
        </w:rPr>
        <w:t>specification</w:t>
      </w:r>
      <w:r w:rsidR="003D78B2" w:rsidRPr="00D42EB2">
        <w:rPr>
          <w:rFonts w:ascii="Gill Sans MT" w:hAnsi="Gill Sans MT" w:cs="Arial"/>
          <w:sz w:val="24"/>
          <w:szCs w:val="24"/>
        </w:rPr>
        <w:t xml:space="preserve"> evaluation factors, taken as a whole, are </w:t>
      </w:r>
      <w:r w:rsidR="00F01705">
        <w:rPr>
          <w:rFonts w:ascii="Gill Sans MT" w:hAnsi="Gill Sans MT" w:cs="Arial"/>
          <w:sz w:val="24"/>
          <w:szCs w:val="24"/>
        </w:rPr>
        <w:t>equally important as</w:t>
      </w:r>
      <w:r w:rsidR="003D78B2" w:rsidRPr="00D42EB2">
        <w:rPr>
          <w:rFonts w:ascii="Gill Sans MT" w:hAnsi="Gill Sans MT" w:cs="Arial"/>
          <w:sz w:val="24"/>
          <w:szCs w:val="24"/>
        </w:rPr>
        <w:t xml:space="preserve"> cost or price in determining best value. </w:t>
      </w:r>
    </w:p>
    <w:p w:rsidR="003D78B2" w:rsidRPr="00D42EB2" w:rsidRDefault="003D78B2" w:rsidP="007E375F">
      <w:pPr>
        <w:pStyle w:val="BodyText"/>
        <w:ind w:right="0"/>
        <w:contextualSpacing/>
        <w:rPr>
          <w:rFonts w:ascii="Gill Sans MT" w:eastAsiaTheme="minorHAnsi" w:hAnsi="Gill Sans MT" w:cs="Arial"/>
          <w:szCs w:val="24"/>
        </w:rPr>
      </w:pPr>
      <w:r w:rsidRPr="00D42EB2">
        <w:rPr>
          <w:rFonts w:ascii="Gill Sans MT" w:eastAsiaTheme="minorHAnsi" w:hAnsi="Gill Sans MT" w:cs="Arial"/>
          <w:szCs w:val="24"/>
        </w:rPr>
        <w:t>Offerors should note that these criteria: (1) serve as the standard against which all proposals will be evaluated, and (2) serve to identify the significant matters which offerors should address in their proposals. Each proposal will be evaluated on the criteria listed below and the criteria will be weighted according to the following allocations:</w:t>
      </w:r>
    </w:p>
    <w:p w:rsidR="003D78B2" w:rsidRPr="00D42EB2" w:rsidRDefault="003D78B2" w:rsidP="003D78B2">
      <w:pPr>
        <w:pStyle w:val="BodyText"/>
        <w:ind w:right="0"/>
        <w:contextualSpacing/>
        <w:rPr>
          <w:rFonts w:ascii="Gill Sans MT" w:eastAsiaTheme="minorHAnsi" w:hAnsi="Gill Sans MT" w:cs="Arial"/>
          <w:szCs w:val="24"/>
        </w:rPr>
      </w:pPr>
    </w:p>
    <w:tbl>
      <w:tblPr>
        <w:tblpPr w:leftFromText="180" w:rightFromText="180" w:vertAnchor="text" w:horzAnchor="margin" w:tblpXSpec="center" w:tblpY="116"/>
        <w:tblW w:w="8540" w:type="dxa"/>
        <w:tblLook w:val="04A0" w:firstRow="1" w:lastRow="0" w:firstColumn="1" w:lastColumn="0" w:noHBand="0" w:noVBand="1"/>
      </w:tblPr>
      <w:tblGrid>
        <w:gridCol w:w="6520"/>
        <w:gridCol w:w="2020"/>
      </w:tblGrid>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C0504D" w:fill="C0504D"/>
            <w:noWrap/>
            <w:vAlign w:val="bottom"/>
            <w:hideMark/>
          </w:tcPr>
          <w:p w:rsidR="003D78B2" w:rsidRPr="00D42EB2" w:rsidRDefault="003D78B2" w:rsidP="00FC03DB">
            <w:pPr>
              <w:spacing w:after="0" w:line="240" w:lineRule="auto"/>
              <w:rPr>
                <w:rFonts w:ascii="Gill Sans MT" w:eastAsia="Times New Roman" w:hAnsi="Gill Sans MT" w:cs="Arial"/>
                <w:b/>
                <w:bCs/>
                <w:color w:val="FFFFFF"/>
                <w:sz w:val="24"/>
                <w:szCs w:val="24"/>
              </w:rPr>
            </w:pPr>
            <w:r w:rsidRPr="00D42EB2">
              <w:rPr>
                <w:rFonts w:ascii="Gill Sans MT" w:eastAsia="Times New Roman" w:hAnsi="Gill Sans MT" w:cs="Arial"/>
                <w:b/>
                <w:bCs/>
                <w:color w:val="FFFFFF"/>
                <w:sz w:val="24"/>
                <w:szCs w:val="24"/>
              </w:rPr>
              <w:t>Criterion</w:t>
            </w:r>
          </w:p>
        </w:tc>
        <w:tc>
          <w:tcPr>
            <w:tcW w:w="2020" w:type="dxa"/>
            <w:tcBorders>
              <w:top w:val="single" w:sz="4" w:space="0" w:color="DA9694"/>
              <w:left w:val="nil"/>
              <w:bottom w:val="single" w:sz="4" w:space="0" w:color="DA9694"/>
              <w:right w:val="single" w:sz="4" w:space="0" w:color="DA9694"/>
            </w:tcBorders>
            <w:shd w:val="clear" w:color="C0504D" w:fill="C0504D"/>
            <w:noWrap/>
            <w:vAlign w:val="bottom"/>
            <w:hideMark/>
          </w:tcPr>
          <w:p w:rsidR="003D78B2" w:rsidRPr="00D42EB2" w:rsidRDefault="003D78B2" w:rsidP="00FC03DB">
            <w:pPr>
              <w:spacing w:after="0" w:line="240" w:lineRule="auto"/>
              <w:rPr>
                <w:rFonts w:ascii="Gill Sans MT" w:eastAsia="Times New Roman" w:hAnsi="Gill Sans MT" w:cs="Arial"/>
                <w:b/>
                <w:bCs/>
                <w:color w:val="FFFFFF"/>
                <w:sz w:val="24"/>
                <w:szCs w:val="24"/>
              </w:rPr>
            </w:pPr>
            <w:r w:rsidRPr="00D42EB2">
              <w:rPr>
                <w:rFonts w:ascii="Gill Sans MT" w:eastAsia="Times New Roman" w:hAnsi="Gill Sans MT" w:cs="Arial"/>
                <w:b/>
                <w:bCs/>
                <w:color w:val="FFFFFF"/>
                <w:sz w:val="24"/>
                <w:szCs w:val="24"/>
              </w:rPr>
              <w:t>Points Possible</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vAlign w:val="bottom"/>
            <w:hideMark/>
          </w:tcPr>
          <w:p w:rsidR="003D78B2" w:rsidRPr="00D42EB2" w:rsidRDefault="003D78B2" w:rsidP="00FC03DB">
            <w:pPr>
              <w:spacing w:after="0" w:line="240" w:lineRule="auto"/>
              <w:rPr>
                <w:rFonts w:ascii="Gill Sans MT" w:eastAsia="Times New Roman" w:hAnsi="Gill Sans MT" w:cs="Arial"/>
                <w:sz w:val="24"/>
                <w:szCs w:val="24"/>
              </w:rPr>
            </w:pPr>
            <w:r w:rsidRPr="00D42EB2">
              <w:rPr>
                <w:rFonts w:ascii="Gill Sans MT" w:eastAsia="Times New Roman" w:hAnsi="Gill Sans MT" w:cs="Arial"/>
                <w:sz w:val="24"/>
                <w:szCs w:val="24"/>
              </w:rPr>
              <w:t>1. Cost Reasonableness</w:t>
            </w:r>
          </w:p>
        </w:tc>
        <w:tc>
          <w:tcPr>
            <w:tcW w:w="2020" w:type="dxa"/>
            <w:tcBorders>
              <w:top w:val="single" w:sz="4" w:space="0" w:color="DA9694"/>
              <w:left w:val="nil"/>
              <w:bottom w:val="single" w:sz="4" w:space="0" w:color="DA9694"/>
              <w:right w:val="single" w:sz="4" w:space="0" w:color="DA9694"/>
            </w:tcBorders>
            <w:shd w:val="clear" w:color="F2DCDB" w:fill="F2DCDB"/>
            <w:noWrap/>
            <w:vAlign w:val="bottom"/>
            <w:hideMark/>
          </w:tcPr>
          <w:p w:rsidR="003D78B2" w:rsidRPr="00D42EB2" w:rsidRDefault="003D78B2" w:rsidP="00FC03DB">
            <w:pPr>
              <w:spacing w:after="0" w:line="240" w:lineRule="auto"/>
              <w:rPr>
                <w:rFonts w:ascii="Gill Sans MT" w:eastAsia="Times New Roman" w:hAnsi="Gill Sans MT" w:cs="Arial"/>
                <w:color w:val="000000"/>
                <w:sz w:val="24"/>
                <w:szCs w:val="24"/>
                <w:highlight w:val="yellow"/>
              </w:rPr>
            </w:pPr>
          </w:p>
        </w:tc>
      </w:tr>
      <w:tr w:rsidR="003D78B2" w:rsidRPr="00D42EB2" w:rsidTr="00FC03DB">
        <w:trPr>
          <w:trHeight w:val="536"/>
        </w:trPr>
        <w:tc>
          <w:tcPr>
            <w:tcW w:w="6520" w:type="dxa"/>
            <w:tcBorders>
              <w:top w:val="single" w:sz="4" w:space="0" w:color="DA9694"/>
              <w:left w:val="single" w:sz="4" w:space="0" w:color="DA9694"/>
              <w:bottom w:val="single" w:sz="4" w:space="0" w:color="DA9694"/>
              <w:right w:val="nil"/>
            </w:tcBorders>
            <w:shd w:val="clear" w:color="auto" w:fill="auto"/>
            <w:vAlign w:val="bottom"/>
            <w:hideMark/>
          </w:tcPr>
          <w:p w:rsidR="003D78B2" w:rsidRPr="00D42EB2" w:rsidRDefault="003D78B2" w:rsidP="00FC03DB">
            <w:pPr>
              <w:spacing w:after="0" w:line="240" w:lineRule="auto"/>
              <w:jc w:val="both"/>
              <w:rPr>
                <w:rFonts w:ascii="Gill Sans MT" w:eastAsia="Times New Roman" w:hAnsi="Gill Sans MT" w:cs="Arial"/>
                <w:sz w:val="24"/>
                <w:szCs w:val="24"/>
              </w:rPr>
            </w:pPr>
            <w:r w:rsidRPr="00D42EB2">
              <w:rPr>
                <w:rFonts w:ascii="Gill Sans MT" w:eastAsia="Times New Roman" w:hAnsi="Gill Sans MT" w:cs="Arial"/>
                <w:sz w:val="24"/>
                <w:szCs w:val="24"/>
              </w:rPr>
              <w:t xml:space="preserve">Bidder offers lowest true cost of </w:t>
            </w:r>
            <w:r w:rsidR="005D13F8">
              <w:rPr>
                <w:rFonts w:ascii="Gill Sans MT" w:eastAsia="Times New Roman" w:hAnsi="Gill Sans MT" w:cs="Arial"/>
                <w:sz w:val="24"/>
                <w:szCs w:val="24"/>
              </w:rPr>
              <w:t>products</w:t>
            </w:r>
            <w:r w:rsidRPr="00D42EB2">
              <w:rPr>
                <w:rFonts w:ascii="Gill Sans MT" w:eastAsia="Times New Roman" w:hAnsi="Gill Sans MT" w:cs="Arial"/>
                <w:sz w:val="24"/>
                <w:szCs w:val="24"/>
              </w:rPr>
              <w:t xml:space="preserve"> w</w:t>
            </w:r>
            <w:r w:rsidR="00951A2E">
              <w:rPr>
                <w:rFonts w:ascii="Gill Sans MT" w:eastAsia="Times New Roman" w:hAnsi="Gill Sans MT" w:cs="Arial"/>
                <w:sz w:val="24"/>
                <w:szCs w:val="24"/>
              </w:rPr>
              <w:t>hile upholding required specifications and content</w:t>
            </w:r>
            <w:r w:rsidRPr="00D42EB2">
              <w:rPr>
                <w:rFonts w:ascii="Gill Sans MT" w:eastAsia="Times New Roman" w:hAnsi="Gill Sans MT" w:cs="Arial"/>
                <w:sz w:val="24"/>
                <w:szCs w:val="24"/>
              </w:rPr>
              <w:t xml:space="preserve"> or</w:t>
            </w:r>
          </w:p>
          <w:p w:rsidR="003D78B2" w:rsidRPr="00D42EB2" w:rsidRDefault="003D78B2" w:rsidP="00FC03DB">
            <w:pPr>
              <w:spacing w:after="0" w:line="240" w:lineRule="auto"/>
              <w:jc w:val="both"/>
              <w:rPr>
                <w:rFonts w:ascii="Gill Sans MT" w:eastAsia="Times New Roman" w:hAnsi="Gill Sans MT" w:cs="Arial"/>
                <w:sz w:val="24"/>
                <w:szCs w:val="24"/>
              </w:rPr>
            </w:pPr>
            <w:r w:rsidRPr="00D42EB2">
              <w:rPr>
                <w:rFonts w:ascii="Gill Sans MT" w:eastAsia="Times New Roman" w:hAnsi="Gill Sans MT" w:cs="Arial"/>
                <w:sz w:val="24"/>
                <w:szCs w:val="24"/>
              </w:rPr>
              <w:t>Bidder’s prices demonstrate an economically advantageous position for Save the Children</w:t>
            </w:r>
          </w:p>
        </w:tc>
        <w:tc>
          <w:tcPr>
            <w:tcW w:w="2020" w:type="dxa"/>
            <w:tcBorders>
              <w:top w:val="single" w:sz="4" w:space="0" w:color="DA9694"/>
              <w:left w:val="nil"/>
              <w:bottom w:val="single" w:sz="4" w:space="0" w:color="DA9694"/>
              <w:right w:val="single" w:sz="4" w:space="0" w:color="DA9694"/>
            </w:tcBorders>
            <w:shd w:val="clear" w:color="auto" w:fill="auto"/>
            <w:noWrap/>
            <w:vAlign w:val="center"/>
            <w:hideMark/>
          </w:tcPr>
          <w:p w:rsidR="003D78B2" w:rsidRPr="00D42EB2" w:rsidRDefault="005D13F8" w:rsidP="00FC03DB">
            <w:pPr>
              <w:spacing w:after="0" w:line="240" w:lineRule="auto"/>
              <w:jc w:val="center"/>
              <w:rPr>
                <w:rFonts w:ascii="Gill Sans MT" w:eastAsia="Times New Roman" w:hAnsi="Gill Sans MT" w:cs="Arial"/>
                <w:color w:val="000000"/>
                <w:sz w:val="24"/>
                <w:szCs w:val="24"/>
                <w:highlight w:val="yellow"/>
              </w:rPr>
            </w:pPr>
            <w:r>
              <w:rPr>
                <w:rFonts w:ascii="Gill Sans MT" w:eastAsia="Times New Roman" w:hAnsi="Gill Sans MT" w:cs="Arial"/>
                <w:color w:val="000000"/>
                <w:sz w:val="24"/>
                <w:szCs w:val="24"/>
              </w:rPr>
              <w:t>40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hideMark/>
          </w:tcPr>
          <w:p w:rsidR="003D78B2" w:rsidRPr="00D42EB2" w:rsidRDefault="003D78B2" w:rsidP="00951A2E">
            <w:pPr>
              <w:spacing w:after="0" w:line="240" w:lineRule="auto"/>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 xml:space="preserve">2. </w:t>
            </w:r>
            <w:r w:rsidR="00951A2E">
              <w:rPr>
                <w:rFonts w:ascii="Gill Sans MT" w:eastAsia="Times New Roman" w:hAnsi="Gill Sans MT" w:cs="Arial"/>
                <w:color w:val="000000"/>
                <w:sz w:val="24"/>
                <w:szCs w:val="24"/>
              </w:rPr>
              <w:t>Specification and Content</w:t>
            </w:r>
            <w:r w:rsidRPr="00D42EB2">
              <w:rPr>
                <w:rFonts w:ascii="Gill Sans MT" w:eastAsia="Times New Roman" w:hAnsi="Gill Sans MT" w:cs="Arial"/>
                <w:color w:val="000000"/>
                <w:sz w:val="24"/>
                <w:szCs w:val="24"/>
              </w:rPr>
              <w:t xml:space="preserve"> Approach  </w:t>
            </w:r>
          </w:p>
        </w:tc>
        <w:tc>
          <w:tcPr>
            <w:tcW w:w="2020" w:type="dxa"/>
            <w:tcBorders>
              <w:top w:val="single" w:sz="4" w:space="0" w:color="DA9694"/>
              <w:left w:val="nil"/>
              <w:bottom w:val="single" w:sz="4" w:space="0" w:color="DA9694"/>
              <w:right w:val="single" w:sz="4" w:space="0" w:color="DA9694"/>
            </w:tcBorders>
            <w:shd w:val="clear" w:color="F2DCDB" w:fill="F2DCDB"/>
            <w:noWrap/>
            <w:vAlign w:val="bottom"/>
            <w:hideMark/>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p>
        </w:tc>
      </w:tr>
      <w:tr w:rsidR="003D78B2" w:rsidRPr="00D42EB2" w:rsidTr="00FC03DB">
        <w:trPr>
          <w:trHeight w:val="943"/>
        </w:trPr>
        <w:tc>
          <w:tcPr>
            <w:tcW w:w="6520" w:type="dxa"/>
            <w:tcBorders>
              <w:top w:val="single" w:sz="4" w:space="0" w:color="DA9694"/>
              <w:left w:val="single" w:sz="4" w:space="0" w:color="DA9694"/>
              <w:bottom w:val="single" w:sz="4" w:space="0" w:color="DA9694"/>
              <w:right w:val="nil"/>
            </w:tcBorders>
            <w:shd w:val="clear" w:color="auto" w:fill="auto"/>
            <w:vAlign w:val="bottom"/>
            <w:hideMark/>
          </w:tcPr>
          <w:p w:rsidR="003D78B2" w:rsidRPr="00D42EB2" w:rsidRDefault="003D78B2" w:rsidP="00FC03DB">
            <w:pPr>
              <w:spacing w:after="0" w:line="240" w:lineRule="auto"/>
              <w:jc w:val="both"/>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This will evaluate the offeror’s proposed methodology and work plan</w:t>
            </w:r>
            <w:r w:rsidR="00BA415F">
              <w:rPr>
                <w:rFonts w:ascii="Gill Sans MT" w:eastAsia="Times New Roman" w:hAnsi="Gill Sans MT" w:cs="Arial"/>
                <w:color w:val="000000"/>
                <w:sz w:val="24"/>
                <w:szCs w:val="24"/>
              </w:rPr>
              <w:t xml:space="preserve">. </w:t>
            </w:r>
            <w:r w:rsidRPr="00D42EB2">
              <w:rPr>
                <w:rFonts w:ascii="Gill Sans MT" w:eastAsia="Times New Roman" w:hAnsi="Gill Sans MT" w:cs="Arial"/>
                <w:color w:val="000000"/>
                <w:sz w:val="24"/>
                <w:szCs w:val="24"/>
              </w:rPr>
              <w:t>In this section the offeror shall demonstrate:</w:t>
            </w:r>
          </w:p>
          <w:p w:rsidR="003D78B2" w:rsidRPr="00D42EB2" w:rsidRDefault="00BA415F" w:rsidP="00FC03DB">
            <w:pPr>
              <w:pStyle w:val="ListParagraph"/>
              <w:numPr>
                <w:ilvl w:val="0"/>
                <w:numId w:val="32"/>
              </w:numPr>
              <w:spacing w:after="160" w:line="252" w:lineRule="auto"/>
              <w:jc w:val="both"/>
              <w:rPr>
                <w:rFonts w:ascii="Gill Sans MT" w:hAnsi="Gill Sans MT" w:cs="Arial"/>
                <w:color w:val="000000"/>
                <w:sz w:val="24"/>
                <w:szCs w:val="24"/>
              </w:rPr>
            </w:pPr>
            <w:r>
              <w:rPr>
                <w:rFonts w:ascii="Gill Sans MT" w:hAnsi="Gill Sans MT" w:cs="Arial"/>
                <w:color w:val="000000"/>
                <w:sz w:val="24"/>
                <w:szCs w:val="24"/>
              </w:rPr>
              <w:t>Understanding of the scope of work based on the specifications and content</w:t>
            </w:r>
            <w:r w:rsidR="003D78B2" w:rsidRPr="00D42EB2">
              <w:rPr>
                <w:rFonts w:ascii="Gill Sans MT" w:hAnsi="Gill Sans MT" w:cs="Arial"/>
                <w:color w:val="000000"/>
                <w:sz w:val="24"/>
                <w:szCs w:val="24"/>
              </w:rPr>
              <w:t xml:space="preserve">; </w:t>
            </w:r>
          </w:p>
          <w:p w:rsidR="003D78B2" w:rsidRPr="00D42EB2" w:rsidRDefault="004E6E51" w:rsidP="00FC03DB">
            <w:pPr>
              <w:pStyle w:val="ListParagraph"/>
              <w:numPr>
                <w:ilvl w:val="0"/>
                <w:numId w:val="32"/>
              </w:numPr>
              <w:spacing w:after="160" w:line="252" w:lineRule="auto"/>
              <w:jc w:val="both"/>
              <w:rPr>
                <w:rFonts w:ascii="Gill Sans MT" w:hAnsi="Gill Sans MT" w:cs="Arial"/>
                <w:color w:val="000000"/>
                <w:sz w:val="24"/>
                <w:szCs w:val="24"/>
              </w:rPr>
            </w:pPr>
            <w:r w:rsidRPr="00D42EB2">
              <w:rPr>
                <w:rFonts w:ascii="Gill Sans MT" w:hAnsi="Gill Sans MT" w:cs="Arial"/>
                <w:color w:val="000000"/>
                <w:sz w:val="24"/>
                <w:szCs w:val="24"/>
              </w:rPr>
              <w:t>Approach</w:t>
            </w:r>
            <w:r w:rsidR="003D78B2" w:rsidRPr="00D42EB2">
              <w:rPr>
                <w:rFonts w:ascii="Gill Sans MT" w:hAnsi="Gill Sans MT" w:cs="Arial"/>
                <w:color w:val="000000"/>
                <w:sz w:val="24"/>
                <w:szCs w:val="24"/>
              </w:rPr>
              <w:t xml:space="preserve"> for </w:t>
            </w:r>
            <w:r w:rsidR="0015351F">
              <w:rPr>
                <w:rFonts w:ascii="Gill Sans MT" w:hAnsi="Gill Sans MT" w:cs="Arial"/>
                <w:color w:val="000000"/>
                <w:sz w:val="24"/>
                <w:szCs w:val="24"/>
              </w:rPr>
              <w:t>design, printing and publishing of the Storybooks for children.</w:t>
            </w:r>
          </w:p>
          <w:p w:rsidR="003D78B2" w:rsidRPr="00D42EB2" w:rsidRDefault="003D78B2" w:rsidP="00FC03DB">
            <w:pPr>
              <w:pStyle w:val="ListParagraph"/>
              <w:numPr>
                <w:ilvl w:val="0"/>
                <w:numId w:val="32"/>
              </w:numPr>
              <w:spacing w:after="160" w:line="252" w:lineRule="auto"/>
              <w:jc w:val="both"/>
              <w:rPr>
                <w:rFonts w:ascii="Gill Sans MT" w:hAnsi="Gill Sans MT" w:cs="Arial"/>
                <w:color w:val="000000"/>
                <w:sz w:val="24"/>
                <w:szCs w:val="24"/>
              </w:rPr>
            </w:pPr>
            <w:r w:rsidRPr="00D42EB2">
              <w:rPr>
                <w:rFonts w:ascii="Gill Sans MT" w:hAnsi="Gill Sans MT" w:cs="Arial"/>
                <w:color w:val="000000"/>
                <w:sz w:val="24"/>
                <w:szCs w:val="24"/>
              </w:rPr>
              <w:t>work plan with timeframe for</w:t>
            </w:r>
            <w:r w:rsidR="00C75B63">
              <w:rPr>
                <w:rFonts w:ascii="Gill Sans MT" w:hAnsi="Gill Sans MT" w:cs="Arial"/>
                <w:color w:val="000000"/>
                <w:sz w:val="24"/>
                <w:szCs w:val="24"/>
              </w:rPr>
              <w:t xml:space="preserve"> delivery and clarity of deliverables required under the contract</w:t>
            </w:r>
          </w:p>
          <w:p w:rsidR="003D78B2" w:rsidRPr="00D42EB2" w:rsidRDefault="00F52C92" w:rsidP="00EF6360">
            <w:pPr>
              <w:pStyle w:val="ListParagraph"/>
              <w:numPr>
                <w:ilvl w:val="0"/>
                <w:numId w:val="32"/>
              </w:numPr>
              <w:spacing w:after="160" w:line="252" w:lineRule="auto"/>
              <w:jc w:val="both"/>
              <w:rPr>
                <w:rFonts w:ascii="Gill Sans MT" w:hAnsi="Gill Sans MT" w:cs="Arial"/>
                <w:color w:val="000000"/>
                <w:sz w:val="24"/>
                <w:szCs w:val="24"/>
              </w:rPr>
            </w:pPr>
            <w:bookmarkStart w:id="0" w:name="_GoBack"/>
            <w:bookmarkEnd w:id="0"/>
            <w:r>
              <w:rPr>
                <w:rFonts w:ascii="Gill Sans MT" w:hAnsi="Gill Sans MT" w:cs="Arial"/>
                <w:color w:val="000000"/>
                <w:sz w:val="24"/>
                <w:szCs w:val="24"/>
              </w:rPr>
              <w:t>Capacity of supplier to understand and adhere to a safe working environment which will not compromise the reputation of SCI</w:t>
            </w:r>
            <w:r w:rsidR="003D78B2" w:rsidRPr="00D42EB2">
              <w:rPr>
                <w:rFonts w:ascii="Gill Sans MT" w:hAnsi="Gill Sans MT" w:cs="Arial"/>
                <w:color w:val="000000"/>
                <w:sz w:val="24"/>
                <w:szCs w:val="24"/>
              </w:rPr>
              <w:t xml:space="preserve">. </w:t>
            </w:r>
          </w:p>
        </w:tc>
        <w:tc>
          <w:tcPr>
            <w:tcW w:w="2020" w:type="dxa"/>
            <w:tcBorders>
              <w:top w:val="single" w:sz="4" w:space="0" w:color="DA9694"/>
              <w:left w:val="nil"/>
              <w:bottom w:val="single" w:sz="4" w:space="0" w:color="DA9694"/>
              <w:right w:val="single" w:sz="4" w:space="0" w:color="DA9694"/>
            </w:tcBorders>
            <w:shd w:val="clear" w:color="auto" w:fill="auto"/>
            <w:noWrap/>
            <w:vAlign w:val="center"/>
            <w:hideMark/>
          </w:tcPr>
          <w:p w:rsidR="003D78B2" w:rsidRPr="00D42EB2" w:rsidRDefault="003D78B2" w:rsidP="00FC03DB">
            <w:pPr>
              <w:spacing w:after="0" w:line="240" w:lineRule="auto"/>
              <w:jc w:val="center"/>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40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tcPr>
          <w:p w:rsidR="003D78B2" w:rsidRPr="00D42EB2" w:rsidRDefault="003D78B2" w:rsidP="00B31746">
            <w:pPr>
              <w:spacing w:after="0" w:line="240" w:lineRule="auto"/>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 xml:space="preserve">3. </w:t>
            </w:r>
            <w:r w:rsidR="00B31746">
              <w:rPr>
                <w:rFonts w:ascii="Gill Sans MT" w:eastAsia="Times New Roman" w:hAnsi="Gill Sans MT" w:cs="Arial"/>
                <w:color w:val="000000"/>
                <w:sz w:val="24"/>
                <w:szCs w:val="24"/>
              </w:rPr>
              <w:t>E</w:t>
            </w:r>
            <w:r w:rsidRPr="00D42EB2">
              <w:rPr>
                <w:rFonts w:ascii="Gill Sans MT" w:eastAsia="Times New Roman" w:hAnsi="Gill Sans MT" w:cs="Arial"/>
                <w:color w:val="000000"/>
                <w:sz w:val="24"/>
                <w:szCs w:val="24"/>
              </w:rPr>
              <w:t xml:space="preserve">xperience  </w:t>
            </w:r>
          </w:p>
        </w:tc>
        <w:tc>
          <w:tcPr>
            <w:tcW w:w="2020" w:type="dxa"/>
            <w:tcBorders>
              <w:top w:val="single" w:sz="4" w:space="0" w:color="DA9694"/>
              <w:left w:val="nil"/>
              <w:bottom w:val="single" w:sz="4" w:space="0" w:color="DA9694"/>
              <w:right w:val="single" w:sz="4" w:space="0" w:color="DA9694"/>
            </w:tcBorders>
            <w:shd w:val="clear" w:color="F2DCDB" w:fill="F2DCDB"/>
            <w:noWrap/>
            <w:vAlign w:val="bottom"/>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auto" w:fill="auto"/>
            <w:noWrap/>
            <w:vAlign w:val="bottom"/>
          </w:tcPr>
          <w:p w:rsidR="003D78B2" w:rsidRPr="00D42EB2" w:rsidRDefault="003D78B2" w:rsidP="007E2444">
            <w:pPr>
              <w:pStyle w:val="NoSpacing"/>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 xml:space="preserve">Relevant experience </w:t>
            </w:r>
            <w:r w:rsidR="00B31746">
              <w:rPr>
                <w:rFonts w:ascii="Gill Sans MT" w:eastAsia="Times New Roman" w:hAnsi="Gill Sans MT" w:cs="Arial"/>
                <w:color w:val="000000"/>
                <w:sz w:val="24"/>
                <w:szCs w:val="24"/>
              </w:rPr>
              <w:t>in providing similar materials</w:t>
            </w:r>
            <w:r w:rsidRPr="00D42EB2">
              <w:rPr>
                <w:rFonts w:ascii="Gill Sans MT" w:eastAsia="Times New Roman" w:hAnsi="Gill Sans MT" w:cs="Arial"/>
                <w:color w:val="000000"/>
                <w:sz w:val="24"/>
                <w:szCs w:val="24"/>
              </w:rPr>
              <w:t xml:space="preserve">.  This will include an evaluation of the capacity of the organization to perform the scope of work </w:t>
            </w:r>
            <w:r w:rsidR="007E2444">
              <w:rPr>
                <w:rFonts w:ascii="Gill Sans MT" w:eastAsia="Times New Roman" w:hAnsi="Gill Sans MT" w:cs="Arial"/>
                <w:color w:val="000000"/>
                <w:sz w:val="24"/>
                <w:szCs w:val="24"/>
              </w:rPr>
              <w:t>as per the</w:t>
            </w:r>
            <w:r w:rsidR="00F75B45">
              <w:rPr>
                <w:rFonts w:ascii="Gill Sans MT" w:eastAsia="Times New Roman" w:hAnsi="Gill Sans MT" w:cs="Arial"/>
                <w:color w:val="000000"/>
                <w:sz w:val="24"/>
                <w:szCs w:val="24"/>
              </w:rPr>
              <w:t xml:space="preserve"> specification</w:t>
            </w:r>
            <w:r w:rsidR="007E2444">
              <w:rPr>
                <w:rFonts w:ascii="Gill Sans MT" w:eastAsia="Times New Roman" w:hAnsi="Gill Sans MT" w:cs="Arial"/>
                <w:color w:val="000000"/>
                <w:sz w:val="24"/>
                <w:szCs w:val="24"/>
              </w:rPr>
              <w:t>s</w:t>
            </w:r>
            <w:r w:rsidR="00F75B45">
              <w:rPr>
                <w:rFonts w:ascii="Gill Sans MT" w:eastAsia="Times New Roman" w:hAnsi="Gill Sans MT" w:cs="Arial"/>
                <w:color w:val="000000"/>
                <w:sz w:val="24"/>
                <w:szCs w:val="24"/>
              </w:rPr>
              <w:t xml:space="preserve"> and content criteria.</w:t>
            </w:r>
          </w:p>
        </w:tc>
        <w:tc>
          <w:tcPr>
            <w:tcW w:w="2020" w:type="dxa"/>
            <w:tcBorders>
              <w:top w:val="single" w:sz="4" w:space="0" w:color="DA9694"/>
              <w:left w:val="nil"/>
              <w:bottom w:val="single" w:sz="4" w:space="0" w:color="DA9694"/>
              <w:right w:val="single" w:sz="4" w:space="0" w:color="DA9694"/>
            </w:tcBorders>
            <w:shd w:val="clear" w:color="auto" w:fill="auto"/>
            <w:noWrap/>
            <w:vAlign w:val="center"/>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10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vAlign w:val="bottom"/>
          </w:tcPr>
          <w:p w:rsidR="003D78B2" w:rsidRPr="00D42EB2" w:rsidRDefault="00F52C92" w:rsidP="00FC03DB">
            <w:pPr>
              <w:spacing w:after="0" w:line="240" w:lineRule="auto"/>
              <w:rPr>
                <w:rFonts w:ascii="Gill Sans MT" w:eastAsia="Times New Roman" w:hAnsi="Gill Sans MT" w:cs="Arial"/>
                <w:color w:val="000000"/>
                <w:sz w:val="24"/>
                <w:szCs w:val="24"/>
              </w:rPr>
            </w:pPr>
            <w:r>
              <w:rPr>
                <w:rFonts w:ascii="Gill Sans MT" w:eastAsia="Times New Roman" w:hAnsi="Gill Sans MT" w:cs="Arial"/>
                <w:color w:val="000000"/>
                <w:sz w:val="24"/>
                <w:szCs w:val="24"/>
              </w:rPr>
              <w:t>4</w:t>
            </w:r>
            <w:r w:rsidR="003D78B2" w:rsidRPr="00D42EB2">
              <w:rPr>
                <w:rFonts w:ascii="Gill Sans MT" w:eastAsia="Times New Roman" w:hAnsi="Gill Sans MT" w:cs="Arial"/>
                <w:color w:val="000000"/>
                <w:sz w:val="24"/>
                <w:szCs w:val="24"/>
              </w:rPr>
              <w:t>. References &amp; Reputation</w:t>
            </w:r>
          </w:p>
        </w:tc>
        <w:tc>
          <w:tcPr>
            <w:tcW w:w="2020" w:type="dxa"/>
            <w:tcBorders>
              <w:top w:val="single" w:sz="4" w:space="0" w:color="DA9694"/>
              <w:left w:val="nil"/>
              <w:bottom w:val="single" w:sz="4" w:space="0" w:color="DA9694"/>
              <w:right w:val="single" w:sz="4" w:space="0" w:color="DA9694"/>
            </w:tcBorders>
            <w:shd w:val="clear" w:color="F2DCDB" w:fill="F2DCDB"/>
            <w:noWrap/>
            <w:vAlign w:val="bottom"/>
          </w:tcPr>
          <w:p w:rsidR="003D78B2" w:rsidRPr="00D42EB2" w:rsidRDefault="003D78B2" w:rsidP="00FC03DB">
            <w:pPr>
              <w:spacing w:after="0" w:line="240" w:lineRule="auto"/>
              <w:jc w:val="center"/>
              <w:rPr>
                <w:rFonts w:ascii="Gill Sans MT" w:eastAsia="Times New Roman" w:hAnsi="Gill Sans MT" w:cs="Arial"/>
                <w:color w:val="000000"/>
                <w:sz w:val="24"/>
                <w:szCs w:val="24"/>
              </w:rPr>
            </w:pPr>
          </w:p>
        </w:tc>
      </w:tr>
      <w:tr w:rsidR="003D78B2" w:rsidRPr="00D42EB2" w:rsidTr="00FC03DB">
        <w:trPr>
          <w:trHeight w:val="635"/>
        </w:trPr>
        <w:tc>
          <w:tcPr>
            <w:tcW w:w="6520" w:type="dxa"/>
            <w:tcBorders>
              <w:top w:val="single" w:sz="4" w:space="0" w:color="DA9694"/>
              <w:left w:val="single" w:sz="4" w:space="0" w:color="DA9694"/>
              <w:bottom w:val="single" w:sz="4" w:space="0" w:color="DA9694"/>
              <w:right w:val="nil"/>
            </w:tcBorders>
            <w:shd w:val="clear" w:color="auto" w:fill="auto"/>
            <w:vAlign w:val="bottom"/>
            <w:hideMark/>
          </w:tcPr>
          <w:p w:rsidR="003D78B2" w:rsidRPr="00D42EB2" w:rsidRDefault="003D78B2" w:rsidP="005232C2">
            <w:pPr>
              <w:spacing w:after="0" w:line="240" w:lineRule="auto"/>
              <w:jc w:val="both"/>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 xml:space="preserve">Past experience in providing </w:t>
            </w:r>
            <w:r w:rsidR="005232C2">
              <w:rPr>
                <w:rFonts w:ascii="Gill Sans MT" w:eastAsia="Times New Roman" w:hAnsi="Gill Sans MT" w:cs="Arial"/>
                <w:color w:val="000000"/>
                <w:sz w:val="24"/>
                <w:szCs w:val="24"/>
              </w:rPr>
              <w:t>similar works</w:t>
            </w:r>
            <w:r w:rsidRPr="00D42EB2">
              <w:rPr>
                <w:rFonts w:ascii="Gill Sans MT" w:eastAsia="Times New Roman" w:hAnsi="Gill Sans MT" w:cs="Arial"/>
                <w:color w:val="000000"/>
                <w:sz w:val="24"/>
                <w:szCs w:val="24"/>
              </w:rPr>
              <w:t>. This will include a review of previous experience in similar jobs, references about quality deliverables and services from previous and current clients, etc.</w:t>
            </w:r>
          </w:p>
        </w:tc>
        <w:tc>
          <w:tcPr>
            <w:tcW w:w="2020" w:type="dxa"/>
            <w:tcBorders>
              <w:top w:val="single" w:sz="4" w:space="0" w:color="DA9694"/>
              <w:left w:val="nil"/>
              <w:bottom w:val="single" w:sz="4" w:space="0" w:color="DA9694"/>
              <w:right w:val="single" w:sz="4" w:space="0" w:color="DA9694"/>
            </w:tcBorders>
            <w:shd w:val="clear" w:color="auto" w:fill="auto"/>
            <w:noWrap/>
            <w:vAlign w:val="center"/>
            <w:hideMark/>
          </w:tcPr>
          <w:p w:rsidR="003D78B2" w:rsidRPr="00D42EB2" w:rsidRDefault="00E10C06" w:rsidP="00FC03DB">
            <w:pPr>
              <w:spacing w:after="0" w:line="240" w:lineRule="auto"/>
              <w:jc w:val="center"/>
              <w:rPr>
                <w:rFonts w:ascii="Gill Sans MT" w:eastAsia="Times New Roman" w:hAnsi="Gill Sans MT" w:cs="Arial"/>
                <w:color w:val="000000"/>
                <w:sz w:val="24"/>
                <w:szCs w:val="24"/>
                <w:highlight w:val="yellow"/>
              </w:rPr>
            </w:pPr>
            <w:r>
              <w:rPr>
                <w:rFonts w:ascii="Gill Sans MT" w:eastAsia="Times New Roman" w:hAnsi="Gill Sans MT" w:cs="Arial"/>
                <w:color w:val="000000"/>
                <w:sz w:val="24"/>
                <w:szCs w:val="24"/>
              </w:rPr>
              <w:t>10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vAlign w:val="bottom"/>
            <w:hideMark/>
          </w:tcPr>
          <w:p w:rsidR="003D78B2" w:rsidRPr="00D42EB2" w:rsidRDefault="003D78B2" w:rsidP="00FC03DB">
            <w:pPr>
              <w:spacing w:after="0" w:line="240" w:lineRule="auto"/>
              <w:jc w:val="right"/>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Total points possible</w:t>
            </w:r>
          </w:p>
        </w:tc>
        <w:tc>
          <w:tcPr>
            <w:tcW w:w="2020" w:type="dxa"/>
            <w:tcBorders>
              <w:top w:val="single" w:sz="4" w:space="0" w:color="DA9694"/>
              <w:left w:val="nil"/>
              <w:bottom w:val="single" w:sz="4" w:space="0" w:color="DA9694"/>
              <w:right w:val="single" w:sz="4" w:space="0" w:color="DA9694"/>
            </w:tcBorders>
            <w:shd w:val="clear" w:color="F2DCDB" w:fill="F2DCDB"/>
            <w:noWrap/>
            <w:vAlign w:val="bottom"/>
            <w:hideMark/>
          </w:tcPr>
          <w:p w:rsidR="003D78B2" w:rsidRPr="00D42EB2" w:rsidRDefault="003D78B2" w:rsidP="00FC03DB">
            <w:pPr>
              <w:spacing w:after="0" w:line="240" w:lineRule="auto"/>
              <w:jc w:val="center"/>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100</w:t>
            </w:r>
          </w:p>
        </w:tc>
      </w:tr>
    </w:tbl>
    <w:p w:rsidR="003D78B2" w:rsidRPr="00D42EB2" w:rsidRDefault="003D78B2" w:rsidP="003D78B2">
      <w:pPr>
        <w:pStyle w:val="ListNumber"/>
        <w:tabs>
          <w:tab w:val="clear" w:pos="709"/>
        </w:tabs>
        <w:ind w:left="0" w:firstLine="0"/>
        <w:rPr>
          <w:rFonts w:ascii="Gill Sans MT" w:hAnsi="Gill Sans MT" w:cs="Arial"/>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rPr>
          <w:rFonts w:ascii="Gill Sans MT" w:hAnsi="Gill Sans MT" w:cs="Arial"/>
          <w:b/>
          <w:sz w:val="24"/>
          <w:szCs w:val="24"/>
        </w:rPr>
      </w:pPr>
    </w:p>
    <w:p w:rsidR="002318DB" w:rsidRPr="00D42EB2" w:rsidRDefault="002318DB" w:rsidP="002318DB">
      <w:pPr>
        <w:pStyle w:val="Default"/>
        <w:jc w:val="both"/>
        <w:rPr>
          <w:rFonts w:ascii="Gill Sans MT" w:hAnsi="Gill Sans MT"/>
        </w:rPr>
      </w:pPr>
    </w:p>
    <w:sectPr w:rsidR="002318DB" w:rsidRPr="00D42EB2" w:rsidSect="00981934">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4E" w:rsidRDefault="0034434E" w:rsidP="00373073">
      <w:pPr>
        <w:spacing w:after="0" w:line="240" w:lineRule="auto"/>
      </w:pPr>
      <w:r>
        <w:separator/>
      </w:r>
    </w:p>
  </w:endnote>
  <w:endnote w:type="continuationSeparator" w:id="0">
    <w:p w:rsidR="0034434E" w:rsidRDefault="0034434E" w:rsidP="0037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DD" w:rsidRPr="00891DDD" w:rsidRDefault="00891DDD" w:rsidP="00891DDD">
    <w:pPr>
      <w:pStyle w:val="Footer"/>
      <w:jc w:val="right"/>
      <w:rPr>
        <w:rFonts w:ascii="Gill Sans MT" w:hAnsi="Gill Sans MT"/>
      </w:rPr>
    </w:pPr>
    <w:r w:rsidRPr="00891DDD">
      <w:rPr>
        <w:rFonts w:ascii="Gill Sans MT" w:hAnsi="Gill Sans MT"/>
      </w:rPr>
      <w:t xml:space="preserve">Page </w:t>
    </w:r>
    <w:r w:rsidRPr="00891DDD">
      <w:rPr>
        <w:rFonts w:ascii="Gill Sans MT" w:hAnsi="Gill Sans MT"/>
      </w:rPr>
      <w:fldChar w:fldCharType="begin"/>
    </w:r>
    <w:r w:rsidRPr="00891DDD">
      <w:rPr>
        <w:rFonts w:ascii="Gill Sans MT" w:hAnsi="Gill Sans MT"/>
      </w:rPr>
      <w:instrText xml:space="preserve"> PAGE   \* MERGEFORMAT </w:instrText>
    </w:r>
    <w:r w:rsidRPr="00891DDD">
      <w:rPr>
        <w:rFonts w:ascii="Gill Sans MT" w:hAnsi="Gill Sans MT"/>
      </w:rPr>
      <w:fldChar w:fldCharType="separate"/>
    </w:r>
    <w:r w:rsidR="00F52C92">
      <w:rPr>
        <w:rFonts w:ascii="Gill Sans MT" w:hAnsi="Gill Sans MT"/>
        <w:noProof/>
      </w:rPr>
      <w:t>1</w:t>
    </w:r>
    <w:r w:rsidRPr="00891DDD">
      <w:rPr>
        <w:rFonts w:ascii="Gill Sans MT" w:hAnsi="Gill Sans M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4E" w:rsidRDefault="0034434E" w:rsidP="00373073">
      <w:pPr>
        <w:spacing w:after="0" w:line="240" w:lineRule="auto"/>
      </w:pPr>
      <w:r>
        <w:separator/>
      </w:r>
    </w:p>
  </w:footnote>
  <w:footnote w:type="continuationSeparator" w:id="0">
    <w:p w:rsidR="0034434E" w:rsidRDefault="0034434E" w:rsidP="0037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73" w:rsidRDefault="00373073">
    <w:pPr>
      <w:pStyle w:val="Header"/>
    </w:pPr>
    <w:r>
      <w:rPr>
        <w:noProof/>
        <w:lang w:eastAsia="en-GB"/>
      </w:rPr>
      <w:drawing>
        <wp:anchor distT="0" distB="0" distL="114300" distR="114300" simplePos="0" relativeHeight="251659264" behindDoc="0" locked="0" layoutInCell="1" allowOverlap="1" wp14:anchorId="192A40A3" wp14:editId="04FE6172">
          <wp:simplePos x="0" y="0"/>
          <wp:positionH relativeFrom="column">
            <wp:posOffset>3750046</wp:posOffset>
          </wp:positionH>
          <wp:positionV relativeFrom="paragraph">
            <wp:posOffset>-250190</wp:posOffset>
          </wp:positionV>
          <wp:extent cx="2390915" cy="509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915" cy="5098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A58"/>
    <w:multiLevelType w:val="hybridMultilevel"/>
    <w:tmpl w:val="5162B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3543C"/>
    <w:multiLevelType w:val="hybridMultilevel"/>
    <w:tmpl w:val="B618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25115"/>
    <w:multiLevelType w:val="hybridMultilevel"/>
    <w:tmpl w:val="8EA6E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87AA9"/>
    <w:multiLevelType w:val="hybridMultilevel"/>
    <w:tmpl w:val="B830A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60C50"/>
    <w:multiLevelType w:val="hybridMultilevel"/>
    <w:tmpl w:val="DC7C13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23E10"/>
    <w:multiLevelType w:val="hybridMultilevel"/>
    <w:tmpl w:val="6CAC9BA6"/>
    <w:lvl w:ilvl="0" w:tplc="08090017">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15:restartNumberingAfterBreak="0">
    <w:nsid w:val="1C6C185C"/>
    <w:multiLevelType w:val="hybridMultilevel"/>
    <w:tmpl w:val="1C5445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0F4CB2"/>
    <w:multiLevelType w:val="hybridMultilevel"/>
    <w:tmpl w:val="2876B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07C26"/>
    <w:multiLevelType w:val="hybridMultilevel"/>
    <w:tmpl w:val="0F5C96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B13B9"/>
    <w:multiLevelType w:val="hybridMultilevel"/>
    <w:tmpl w:val="97CCEA64"/>
    <w:lvl w:ilvl="0" w:tplc="2E2837AE">
      <w:start w:val="1"/>
      <w:numFmt w:val="lowerLetter"/>
      <w:lvlText w:val="%1."/>
      <w:lvlJc w:val="righ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0" w15:restartNumberingAfterBreak="0">
    <w:nsid w:val="348D4208"/>
    <w:multiLevelType w:val="hybridMultilevel"/>
    <w:tmpl w:val="CC64B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D2B5F"/>
    <w:multiLevelType w:val="hybridMultilevel"/>
    <w:tmpl w:val="53988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1245"/>
    <w:multiLevelType w:val="hybridMultilevel"/>
    <w:tmpl w:val="12B61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02D1C"/>
    <w:multiLevelType w:val="hybridMultilevel"/>
    <w:tmpl w:val="25660300"/>
    <w:lvl w:ilvl="0" w:tplc="CE9CC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811C2"/>
    <w:multiLevelType w:val="hybridMultilevel"/>
    <w:tmpl w:val="0544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95583"/>
    <w:multiLevelType w:val="hybridMultilevel"/>
    <w:tmpl w:val="D5FC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62B79"/>
    <w:multiLevelType w:val="hybridMultilevel"/>
    <w:tmpl w:val="F7E47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F0B72"/>
    <w:multiLevelType w:val="hybridMultilevel"/>
    <w:tmpl w:val="746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06AA7"/>
    <w:multiLevelType w:val="hybridMultilevel"/>
    <w:tmpl w:val="8E96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4422A"/>
    <w:multiLevelType w:val="hybridMultilevel"/>
    <w:tmpl w:val="1DC8CD1E"/>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88E78FF"/>
    <w:multiLevelType w:val="hybridMultilevel"/>
    <w:tmpl w:val="5E1A89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0F1022"/>
    <w:multiLevelType w:val="hybridMultilevel"/>
    <w:tmpl w:val="59A69DB2"/>
    <w:lvl w:ilvl="0" w:tplc="0809001B">
      <w:start w:val="1"/>
      <w:numFmt w:val="lowerRoman"/>
      <w:lvlText w:val="%1."/>
      <w:lvlJc w:val="righ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2" w15:restartNumberingAfterBreak="0">
    <w:nsid w:val="62BE6D12"/>
    <w:multiLevelType w:val="hybridMultilevel"/>
    <w:tmpl w:val="4C1EA7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5065D"/>
    <w:multiLevelType w:val="hybridMultilevel"/>
    <w:tmpl w:val="777C73F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7000032E"/>
    <w:multiLevelType w:val="hybridMultilevel"/>
    <w:tmpl w:val="7438F3D6"/>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7011061D"/>
    <w:multiLevelType w:val="hybridMultilevel"/>
    <w:tmpl w:val="64D82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75A0D"/>
    <w:multiLevelType w:val="hybridMultilevel"/>
    <w:tmpl w:val="FC2000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B6C24"/>
    <w:multiLevelType w:val="hybridMultilevel"/>
    <w:tmpl w:val="F9F4B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06C91"/>
    <w:multiLevelType w:val="hybridMultilevel"/>
    <w:tmpl w:val="6ED6702E"/>
    <w:lvl w:ilvl="0" w:tplc="08090017">
      <w:start w:val="1"/>
      <w:numFmt w:val="lowerLetter"/>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77F4307A"/>
    <w:multiLevelType w:val="hybridMultilevel"/>
    <w:tmpl w:val="DAD4791C"/>
    <w:lvl w:ilvl="0" w:tplc="0809001B">
      <w:start w:val="1"/>
      <w:numFmt w:val="lowerRoman"/>
      <w:lvlText w:val="%1."/>
      <w:lvlJc w:val="righ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0" w15:restartNumberingAfterBreak="0">
    <w:nsid w:val="7ADA4555"/>
    <w:multiLevelType w:val="hybridMultilevel"/>
    <w:tmpl w:val="150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367CE4"/>
    <w:multiLevelType w:val="hybridMultilevel"/>
    <w:tmpl w:val="F93C17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30"/>
  </w:num>
  <w:num w:numId="4">
    <w:abstractNumId w:val="15"/>
  </w:num>
  <w:num w:numId="5">
    <w:abstractNumId w:val="4"/>
  </w:num>
  <w:num w:numId="6">
    <w:abstractNumId w:val="20"/>
  </w:num>
  <w:num w:numId="7">
    <w:abstractNumId w:val="25"/>
  </w:num>
  <w:num w:numId="8">
    <w:abstractNumId w:val="8"/>
  </w:num>
  <w:num w:numId="9">
    <w:abstractNumId w:val="11"/>
  </w:num>
  <w:num w:numId="10">
    <w:abstractNumId w:val="6"/>
  </w:num>
  <w:num w:numId="11">
    <w:abstractNumId w:val="29"/>
  </w:num>
  <w:num w:numId="12">
    <w:abstractNumId w:val="3"/>
  </w:num>
  <w:num w:numId="13">
    <w:abstractNumId w:val="7"/>
  </w:num>
  <w:num w:numId="14">
    <w:abstractNumId w:val="12"/>
  </w:num>
  <w:num w:numId="15">
    <w:abstractNumId w:val="22"/>
  </w:num>
  <w:num w:numId="16">
    <w:abstractNumId w:val="14"/>
  </w:num>
  <w:num w:numId="17">
    <w:abstractNumId w:val="1"/>
  </w:num>
  <w:num w:numId="18">
    <w:abstractNumId w:val="27"/>
  </w:num>
  <w:num w:numId="19">
    <w:abstractNumId w:val="28"/>
  </w:num>
  <w:num w:numId="20">
    <w:abstractNumId w:val="26"/>
  </w:num>
  <w:num w:numId="21">
    <w:abstractNumId w:val="10"/>
  </w:num>
  <w:num w:numId="22">
    <w:abstractNumId w:val="2"/>
  </w:num>
  <w:num w:numId="23">
    <w:abstractNumId w:val="18"/>
  </w:num>
  <w:num w:numId="24">
    <w:abstractNumId w:val="24"/>
  </w:num>
  <w:num w:numId="25">
    <w:abstractNumId w:val="19"/>
  </w:num>
  <w:num w:numId="26">
    <w:abstractNumId w:val="21"/>
  </w:num>
  <w:num w:numId="27">
    <w:abstractNumId w:val="31"/>
  </w:num>
  <w:num w:numId="28">
    <w:abstractNumId w:val="13"/>
  </w:num>
  <w:num w:numId="29">
    <w:abstractNumId w:val="9"/>
  </w:num>
  <w:num w:numId="30">
    <w:abstractNumId w:val="5"/>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3"/>
    <w:rsid w:val="00055C58"/>
    <w:rsid w:val="0015351F"/>
    <w:rsid w:val="002318DB"/>
    <w:rsid w:val="00265A02"/>
    <w:rsid w:val="002A1E1A"/>
    <w:rsid w:val="00316125"/>
    <w:rsid w:val="0034434E"/>
    <w:rsid w:val="00370F98"/>
    <w:rsid w:val="00373073"/>
    <w:rsid w:val="003C1116"/>
    <w:rsid w:val="003D78B2"/>
    <w:rsid w:val="003F7DC8"/>
    <w:rsid w:val="00424BC8"/>
    <w:rsid w:val="00431A7A"/>
    <w:rsid w:val="00460EBA"/>
    <w:rsid w:val="00491EC8"/>
    <w:rsid w:val="004B45DE"/>
    <w:rsid w:val="004C2FC4"/>
    <w:rsid w:val="004D6308"/>
    <w:rsid w:val="004E6E51"/>
    <w:rsid w:val="005232C2"/>
    <w:rsid w:val="00573F4A"/>
    <w:rsid w:val="00584B3D"/>
    <w:rsid w:val="005D13F8"/>
    <w:rsid w:val="005E4852"/>
    <w:rsid w:val="00637AE4"/>
    <w:rsid w:val="006667B5"/>
    <w:rsid w:val="006B1F7F"/>
    <w:rsid w:val="006C1DDF"/>
    <w:rsid w:val="006C5432"/>
    <w:rsid w:val="0073671D"/>
    <w:rsid w:val="00774778"/>
    <w:rsid w:val="007E2444"/>
    <w:rsid w:val="007E375F"/>
    <w:rsid w:val="007E5234"/>
    <w:rsid w:val="00833CE1"/>
    <w:rsid w:val="00835663"/>
    <w:rsid w:val="00891DDD"/>
    <w:rsid w:val="008D42EE"/>
    <w:rsid w:val="0091254A"/>
    <w:rsid w:val="00942A04"/>
    <w:rsid w:val="00951A2E"/>
    <w:rsid w:val="00981934"/>
    <w:rsid w:val="009C180A"/>
    <w:rsid w:val="009F5339"/>
    <w:rsid w:val="00A66591"/>
    <w:rsid w:val="00B31746"/>
    <w:rsid w:val="00B4210C"/>
    <w:rsid w:val="00B7175A"/>
    <w:rsid w:val="00BA415F"/>
    <w:rsid w:val="00BC286A"/>
    <w:rsid w:val="00BE1855"/>
    <w:rsid w:val="00C0086A"/>
    <w:rsid w:val="00C75B63"/>
    <w:rsid w:val="00C76F7E"/>
    <w:rsid w:val="00CB0B34"/>
    <w:rsid w:val="00D02D4C"/>
    <w:rsid w:val="00D4193F"/>
    <w:rsid w:val="00D42EB2"/>
    <w:rsid w:val="00DA531F"/>
    <w:rsid w:val="00DF21CD"/>
    <w:rsid w:val="00E10C06"/>
    <w:rsid w:val="00E15DF5"/>
    <w:rsid w:val="00E35899"/>
    <w:rsid w:val="00E35F4F"/>
    <w:rsid w:val="00E74BD2"/>
    <w:rsid w:val="00E8712B"/>
    <w:rsid w:val="00EF2F25"/>
    <w:rsid w:val="00EF4F2C"/>
    <w:rsid w:val="00EF6360"/>
    <w:rsid w:val="00F01705"/>
    <w:rsid w:val="00F52C92"/>
    <w:rsid w:val="00F63F83"/>
    <w:rsid w:val="00F66398"/>
    <w:rsid w:val="00F75B45"/>
    <w:rsid w:val="00FB166B"/>
    <w:rsid w:val="00FC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DE73"/>
  <w15:docId w15:val="{B687D927-045F-4A86-871B-CE9336A0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 w:type="paragraph" w:styleId="NoSpacing">
    <w:name w:val="No Spacing"/>
    <w:link w:val="NoSpacingChar"/>
    <w:uiPriority w:val="1"/>
    <w:qFormat/>
    <w:rsid w:val="003D78B2"/>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3D78B2"/>
    <w:rPr>
      <w:rFonts w:eastAsiaTheme="minorEastAsia"/>
      <w:lang w:val="en-US"/>
    </w:rPr>
  </w:style>
  <w:style w:type="paragraph" w:styleId="ListNumber">
    <w:name w:val="List Number"/>
    <w:basedOn w:val="Normal"/>
    <w:rsid w:val="003D78B2"/>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eastAsia="zh-CN"/>
    </w:rPr>
  </w:style>
  <w:style w:type="paragraph" w:styleId="BalloonText">
    <w:name w:val="Balloon Text"/>
    <w:basedOn w:val="Normal"/>
    <w:link w:val="BalloonTextChar"/>
    <w:uiPriority w:val="99"/>
    <w:semiHidden/>
    <w:unhideWhenUsed/>
    <w:rsid w:val="0091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4A"/>
    <w:rPr>
      <w:rFonts w:ascii="Segoe UI" w:hAnsi="Segoe UI" w:cs="Segoe UI"/>
      <w:sz w:val="18"/>
      <w:szCs w:val="18"/>
    </w:rPr>
  </w:style>
  <w:style w:type="character" w:styleId="CommentReference">
    <w:name w:val="annotation reference"/>
    <w:basedOn w:val="DefaultParagraphFont"/>
    <w:uiPriority w:val="99"/>
    <w:semiHidden/>
    <w:unhideWhenUsed/>
    <w:rsid w:val="00DF21CD"/>
    <w:rPr>
      <w:sz w:val="16"/>
      <w:szCs w:val="16"/>
    </w:rPr>
  </w:style>
  <w:style w:type="paragraph" w:styleId="CommentText">
    <w:name w:val="annotation text"/>
    <w:basedOn w:val="Normal"/>
    <w:link w:val="CommentTextChar"/>
    <w:uiPriority w:val="99"/>
    <w:semiHidden/>
    <w:unhideWhenUsed/>
    <w:rsid w:val="00DF21CD"/>
    <w:pPr>
      <w:spacing w:line="240" w:lineRule="auto"/>
    </w:pPr>
    <w:rPr>
      <w:sz w:val="20"/>
      <w:szCs w:val="20"/>
    </w:rPr>
  </w:style>
  <w:style w:type="character" w:customStyle="1" w:styleId="CommentTextChar">
    <w:name w:val="Comment Text Char"/>
    <w:basedOn w:val="DefaultParagraphFont"/>
    <w:link w:val="CommentText"/>
    <w:uiPriority w:val="99"/>
    <w:semiHidden/>
    <w:rsid w:val="00DF21CD"/>
    <w:rPr>
      <w:sz w:val="20"/>
      <w:szCs w:val="20"/>
    </w:rPr>
  </w:style>
  <w:style w:type="paragraph" w:styleId="CommentSubject">
    <w:name w:val="annotation subject"/>
    <w:basedOn w:val="CommentText"/>
    <w:next w:val="CommentText"/>
    <w:link w:val="CommentSubjectChar"/>
    <w:uiPriority w:val="99"/>
    <w:semiHidden/>
    <w:unhideWhenUsed/>
    <w:rsid w:val="00DF21CD"/>
    <w:rPr>
      <w:b/>
      <w:bCs/>
    </w:rPr>
  </w:style>
  <w:style w:type="character" w:customStyle="1" w:styleId="CommentSubjectChar">
    <w:name w:val="Comment Subject Char"/>
    <w:basedOn w:val="CommentTextChar"/>
    <w:link w:val="CommentSubject"/>
    <w:uiPriority w:val="99"/>
    <w:semiHidden/>
    <w:rsid w:val="00DF2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462F-3880-4287-A04E-1B3972C9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Enright</dc:creator>
  <cp:lastModifiedBy>D'Souza, Dominic</cp:lastModifiedBy>
  <cp:revision>6</cp:revision>
  <cp:lastPrinted>2016-04-26T08:20:00Z</cp:lastPrinted>
  <dcterms:created xsi:type="dcterms:W3CDTF">2016-04-26T12:56:00Z</dcterms:created>
  <dcterms:modified xsi:type="dcterms:W3CDTF">2016-05-06T15:08:00Z</dcterms:modified>
</cp:coreProperties>
</file>