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E02DC" w14:textId="7638D8DF" w:rsidR="00513949" w:rsidRPr="00AD7EBC" w:rsidRDefault="00513949" w:rsidP="004576B2">
      <w:pPr>
        <w:pStyle w:val="BodyText"/>
        <w:rPr>
          <w:lang w:val="en-GB"/>
        </w:rPr>
      </w:pPr>
      <w:r w:rsidRPr="00AD7EBC">
        <w:rPr>
          <w:noProof/>
          <w:lang w:val="en-GB"/>
        </w:rPr>
        <w:drawing>
          <wp:inline distT="0" distB="0" distL="0" distR="0" wp14:anchorId="6D91B5E1" wp14:editId="5E137E95">
            <wp:extent cx="2834537" cy="576000"/>
            <wp:effectExtent l="0" t="0" r="4445" b="0"/>
            <wp:docPr id="6" name="Picture 5" descr="Save_the_Childr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ave_the_Children_logo.png"/>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0"/>
                      <a:ext cx="2834537" cy="576000"/>
                    </a:xfrm>
                    <a:prstGeom prst="rect">
                      <a:avLst/>
                    </a:prstGeom>
                  </pic:spPr>
                </pic:pic>
              </a:graphicData>
            </a:graphic>
          </wp:inline>
        </w:drawing>
      </w:r>
      <w:r w:rsidR="004576B2" w:rsidRPr="00AD7EBC">
        <w:rPr>
          <w:lang w:val="en-GB"/>
        </w:rPr>
        <w:t xml:space="preserve">                   </w:t>
      </w:r>
      <w:r w:rsidR="004576B2" w:rsidRPr="00AD7EBC">
        <w:rPr>
          <w:noProof/>
          <w:color w:val="0000FF"/>
          <w:lang w:val="en-GB"/>
        </w:rPr>
        <w:drawing>
          <wp:inline distT="0" distB="0" distL="0" distR="0" wp14:anchorId="38749028" wp14:editId="05C0EB92">
            <wp:extent cx="2279073" cy="895350"/>
            <wp:effectExtent l="0" t="0" r="6985" b="0"/>
            <wp:docPr id="1" name="Picture 1" descr="Image result for worldvis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rldvisi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5813" cy="897998"/>
                    </a:xfrm>
                    <a:prstGeom prst="rect">
                      <a:avLst/>
                    </a:prstGeom>
                    <a:noFill/>
                    <a:ln>
                      <a:noFill/>
                    </a:ln>
                  </pic:spPr>
                </pic:pic>
              </a:graphicData>
            </a:graphic>
          </wp:inline>
        </w:drawing>
      </w:r>
    </w:p>
    <w:p w14:paraId="53709EF1" w14:textId="77777777" w:rsidR="00513949" w:rsidRPr="00AD7EBC" w:rsidRDefault="00513949" w:rsidP="00513949">
      <w:pPr>
        <w:pStyle w:val="BodyText"/>
        <w:jc w:val="both"/>
        <w:rPr>
          <w:b/>
          <w:sz w:val="40"/>
          <w:lang w:val="en-GB"/>
        </w:rPr>
      </w:pPr>
    </w:p>
    <w:p w14:paraId="228E687B" w14:textId="736CDAC5" w:rsidR="00513949" w:rsidRPr="00AD7EBC" w:rsidRDefault="00513949" w:rsidP="00513949">
      <w:pPr>
        <w:pStyle w:val="BodyText"/>
        <w:jc w:val="both"/>
        <w:rPr>
          <w:b/>
          <w:sz w:val="40"/>
          <w:lang w:val="en-GB"/>
        </w:rPr>
      </w:pPr>
    </w:p>
    <w:p w14:paraId="32119CB9" w14:textId="77777777" w:rsidR="004576B2" w:rsidRPr="00AD7EBC" w:rsidRDefault="004576B2" w:rsidP="00513949">
      <w:pPr>
        <w:pStyle w:val="BodyText"/>
        <w:jc w:val="both"/>
        <w:rPr>
          <w:b/>
          <w:sz w:val="40"/>
          <w:lang w:val="en-GB"/>
        </w:rPr>
      </w:pPr>
    </w:p>
    <w:p w14:paraId="71DD138C" w14:textId="77777777" w:rsidR="004576B2" w:rsidRPr="00AD7EBC" w:rsidRDefault="004576B2" w:rsidP="00513949">
      <w:pPr>
        <w:pStyle w:val="BodyText"/>
        <w:jc w:val="center"/>
        <w:rPr>
          <w:b/>
          <w:sz w:val="44"/>
          <w:lang w:val="en-GB"/>
        </w:rPr>
      </w:pPr>
    </w:p>
    <w:p w14:paraId="7351B3D0" w14:textId="715DB906" w:rsidR="00513949" w:rsidRPr="00AD7EBC" w:rsidRDefault="00513949" w:rsidP="00513949">
      <w:pPr>
        <w:pStyle w:val="BodyText"/>
        <w:jc w:val="center"/>
        <w:rPr>
          <w:b/>
          <w:sz w:val="44"/>
          <w:lang w:val="en-GB"/>
        </w:rPr>
      </w:pPr>
      <w:r w:rsidRPr="00AD7EBC">
        <w:rPr>
          <w:b/>
          <w:sz w:val="44"/>
          <w:lang w:val="fr-FR"/>
        </w:rPr>
        <w:t xml:space="preserve">Réussite et </w:t>
      </w:r>
      <w:r w:rsidR="00AD7EBC" w:rsidRPr="00AD7EBC">
        <w:rPr>
          <w:b/>
          <w:sz w:val="44"/>
          <w:lang w:val="fr-FR"/>
        </w:rPr>
        <w:t>Épanouissement</w:t>
      </w:r>
      <w:r w:rsidRPr="00AD7EBC">
        <w:rPr>
          <w:b/>
          <w:sz w:val="44"/>
          <w:lang w:val="fr-FR"/>
        </w:rPr>
        <w:t xml:space="preserve"> via l'Apprentissage et L'Insertion au Système </w:t>
      </w:r>
      <w:r w:rsidR="00AD7EBC" w:rsidRPr="00AD7EBC">
        <w:rPr>
          <w:b/>
          <w:sz w:val="44"/>
          <w:lang w:val="fr-FR"/>
        </w:rPr>
        <w:t>Éducatif</w:t>
      </w:r>
      <w:r w:rsidRPr="00AD7EBC">
        <w:rPr>
          <w:b/>
          <w:sz w:val="44"/>
          <w:lang w:val="fr-FR"/>
        </w:rPr>
        <w:t xml:space="preserve"> (REALISE)</w:t>
      </w:r>
      <w:r w:rsidRPr="00AD7EBC">
        <w:rPr>
          <w:b/>
          <w:sz w:val="44"/>
          <w:lang w:val="en-GB"/>
        </w:rPr>
        <w:t xml:space="preserve"> – GEC-T DRC</w:t>
      </w:r>
      <w:r w:rsidRPr="00AD7EBC">
        <w:rPr>
          <w:b/>
          <w:sz w:val="44"/>
          <w:lang w:val="en-GB"/>
        </w:rPr>
        <w:cr/>
      </w:r>
    </w:p>
    <w:p w14:paraId="72C770CE" w14:textId="77777777" w:rsidR="00513949" w:rsidRPr="00AD7EBC" w:rsidRDefault="00513949" w:rsidP="00513949">
      <w:pPr>
        <w:pStyle w:val="BodyText"/>
        <w:jc w:val="center"/>
        <w:rPr>
          <w:b/>
          <w:sz w:val="44"/>
          <w:lang w:val="en-GB"/>
        </w:rPr>
      </w:pPr>
    </w:p>
    <w:p w14:paraId="4C4B03DC" w14:textId="206C38B0" w:rsidR="00513949" w:rsidRPr="00AD7EBC" w:rsidRDefault="00513949" w:rsidP="00513949">
      <w:pPr>
        <w:pStyle w:val="BodyText"/>
        <w:jc w:val="center"/>
        <w:rPr>
          <w:b/>
          <w:sz w:val="44"/>
          <w:lang w:val="en-GB"/>
        </w:rPr>
      </w:pPr>
      <w:r w:rsidRPr="00AD7EBC">
        <w:rPr>
          <w:b/>
          <w:sz w:val="44"/>
          <w:lang w:val="en-GB"/>
        </w:rPr>
        <w:t>Monitoring, Evaluation, Learning (MEL) Framework</w:t>
      </w:r>
    </w:p>
    <w:p w14:paraId="74DFEC34" w14:textId="77777777" w:rsidR="00513949" w:rsidRPr="00AD7EBC" w:rsidRDefault="00513949" w:rsidP="00513949">
      <w:pPr>
        <w:pStyle w:val="BodyText"/>
        <w:jc w:val="both"/>
        <w:rPr>
          <w:b/>
          <w:sz w:val="40"/>
          <w:lang w:val="en-GB"/>
        </w:rPr>
      </w:pPr>
    </w:p>
    <w:p w14:paraId="4D758C90" w14:textId="77777777" w:rsidR="00513949" w:rsidRPr="00AD7EBC" w:rsidRDefault="00513949" w:rsidP="00513949">
      <w:pPr>
        <w:pStyle w:val="BodyText"/>
        <w:jc w:val="both"/>
        <w:rPr>
          <w:b/>
          <w:sz w:val="40"/>
          <w:lang w:val="en-GB"/>
        </w:rPr>
      </w:pPr>
    </w:p>
    <w:p w14:paraId="319E4BF3" w14:textId="3793928C" w:rsidR="00513949" w:rsidRPr="00AD7EBC" w:rsidRDefault="00513949" w:rsidP="00513949">
      <w:pPr>
        <w:pStyle w:val="BodyText"/>
        <w:jc w:val="both"/>
        <w:rPr>
          <w:b/>
          <w:sz w:val="40"/>
          <w:lang w:val="en-GB"/>
        </w:rPr>
      </w:pPr>
    </w:p>
    <w:p w14:paraId="4B67186C" w14:textId="29A690AA" w:rsidR="00A11759" w:rsidRPr="00AD7EBC" w:rsidRDefault="00A11759" w:rsidP="00513949">
      <w:pPr>
        <w:pStyle w:val="BodyText"/>
        <w:jc w:val="both"/>
        <w:rPr>
          <w:b/>
          <w:sz w:val="40"/>
          <w:lang w:val="en-GB"/>
        </w:rPr>
      </w:pPr>
    </w:p>
    <w:p w14:paraId="20D488BD" w14:textId="77777777" w:rsidR="00513949" w:rsidRPr="00AD7EBC" w:rsidRDefault="00513949" w:rsidP="00513949">
      <w:pPr>
        <w:pStyle w:val="BodyText"/>
        <w:jc w:val="both"/>
        <w:rPr>
          <w:b/>
          <w:sz w:val="40"/>
          <w:lang w:val="en-GB"/>
        </w:rPr>
      </w:pPr>
    </w:p>
    <w:p w14:paraId="148E7DE0" w14:textId="2E8543A6" w:rsidR="00513949" w:rsidRPr="00AD7EBC" w:rsidRDefault="00513949" w:rsidP="00011402">
      <w:pPr>
        <w:pStyle w:val="BodyText"/>
        <w:jc w:val="both"/>
        <w:outlineLvl w:val="0"/>
        <w:rPr>
          <w:b/>
          <w:sz w:val="24"/>
          <w:lang w:val="en-GB"/>
        </w:rPr>
      </w:pPr>
      <w:r w:rsidRPr="00AD7EBC">
        <w:rPr>
          <w:b/>
          <w:sz w:val="24"/>
          <w:lang w:val="en-GB"/>
        </w:rPr>
        <w:t>Implementing agencies:</w:t>
      </w:r>
    </w:p>
    <w:p w14:paraId="4980F858" w14:textId="557DB279" w:rsidR="00513949" w:rsidRPr="00AD7EBC" w:rsidRDefault="00513949" w:rsidP="00011402">
      <w:pPr>
        <w:pStyle w:val="BodyText"/>
        <w:jc w:val="both"/>
        <w:outlineLvl w:val="0"/>
        <w:rPr>
          <w:sz w:val="24"/>
          <w:lang w:val="en-GB"/>
        </w:rPr>
      </w:pPr>
      <w:r w:rsidRPr="00AD7EBC">
        <w:rPr>
          <w:sz w:val="24"/>
          <w:lang w:val="en-GB"/>
        </w:rPr>
        <w:t>World Vision DRC</w:t>
      </w:r>
    </w:p>
    <w:p w14:paraId="120AFA3E" w14:textId="492550A4" w:rsidR="00513949" w:rsidRPr="00AD7EBC" w:rsidRDefault="00513949" w:rsidP="00513949">
      <w:pPr>
        <w:pStyle w:val="BodyText"/>
        <w:jc w:val="both"/>
        <w:rPr>
          <w:sz w:val="24"/>
          <w:lang w:val="en-GB"/>
        </w:rPr>
      </w:pPr>
      <w:r w:rsidRPr="00AD7EBC">
        <w:rPr>
          <w:sz w:val="24"/>
          <w:lang w:val="en-GB"/>
        </w:rPr>
        <w:t xml:space="preserve">Save the Children </w:t>
      </w:r>
      <w:r w:rsidR="001B63FE" w:rsidRPr="00AD7EBC">
        <w:rPr>
          <w:sz w:val="24"/>
          <w:lang w:val="en-GB"/>
        </w:rPr>
        <w:t>International DRC</w:t>
      </w:r>
    </w:p>
    <w:p w14:paraId="397FAB3B" w14:textId="77777777" w:rsidR="00513949" w:rsidRPr="00AD7EBC" w:rsidRDefault="00513949" w:rsidP="00513949">
      <w:pPr>
        <w:pStyle w:val="BodyText"/>
        <w:jc w:val="both"/>
        <w:rPr>
          <w:b/>
          <w:sz w:val="36"/>
          <w:lang w:val="en-GB"/>
        </w:rPr>
      </w:pPr>
    </w:p>
    <w:p w14:paraId="2B74AFB8" w14:textId="77777777" w:rsidR="00FC11CD" w:rsidRPr="00AD7EBC" w:rsidRDefault="00FC11CD" w:rsidP="00513949">
      <w:pPr>
        <w:pStyle w:val="BodyText"/>
        <w:jc w:val="both"/>
        <w:rPr>
          <w:sz w:val="24"/>
          <w:lang w:val="en-GB"/>
        </w:rPr>
      </w:pPr>
    </w:p>
    <w:p w14:paraId="71D8BA64" w14:textId="120D8359" w:rsidR="00513949" w:rsidRPr="00AD7EBC" w:rsidRDefault="00513949" w:rsidP="00011402">
      <w:pPr>
        <w:pStyle w:val="BodyText"/>
        <w:jc w:val="both"/>
        <w:outlineLvl w:val="0"/>
        <w:rPr>
          <w:b/>
          <w:sz w:val="24"/>
          <w:lang w:val="en-GB"/>
        </w:rPr>
      </w:pPr>
      <w:r w:rsidRPr="00AD7EBC">
        <w:rPr>
          <w:b/>
          <w:sz w:val="24"/>
          <w:lang w:val="en-GB"/>
        </w:rPr>
        <w:t>Authors:</w:t>
      </w:r>
    </w:p>
    <w:p w14:paraId="227384DE" w14:textId="3432AA4B" w:rsidR="00513949" w:rsidRPr="00AD7EBC" w:rsidRDefault="00AD7EBC" w:rsidP="00011402">
      <w:pPr>
        <w:pStyle w:val="BodyText"/>
        <w:jc w:val="both"/>
        <w:outlineLvl w:val="0"/>
        <w:rPr>
          <w:sz w:val="24"/>
          <w:lang w:val="en-GB"/>
        </w:rPr>
      </w:pPr>
      <w:r>
        <w:rPr>
          <w:sz w:val="24"/>
          <w:lang w:val="en-GB"/>
        </w:rPr>
        <w:t>Cé</w:t>
      </w:r>
      <w:r w:rsidRPr="00AD7EBC">
        <w:rPr>
          <w:sz w:val="24"/>
          <w:lang w:val="en-GB"/>
        </w:rPr>
        <w:t xml:space="preserve">line </w:t>
      </w:r>
      <w:proofErr w:type="spellStart"/>
      <w:r w:rsidRPr="00AD7EBC">
        <w:rPr>
          <w:sz w:val="24"/>
          <w:lang w:val="en-GB"/>
        </w:rPr>
        <w:t>Sieu</w:t>
      </w:r>
      <w:proofErr w:type="spellEnd"/>
      <w:r w:rsidR="00581AA9">
        <w:rPr>
          <w:sz w:val="24"/>
          <w:lang w:val="en-GB"/>
        </w:rPr>
        <w:t xml:space="preserve"> and Nicole Iafolla </w:t>
      </w:r>
    </w:p>
    <w:p w14:paraId="44BCF9E9" w14:textId="77777777" w:rsidR="00513949" w:rsidRPr="00AD7EBC" w:rsidRDefault="00513949" w:rsidP="00513949">
      <w:pPr>
        <w:pStyle w:val="BodyText"/>
        <w:jc w:val="both"/>
        <w:rPr>
          <w:sz w:val="24"/>
          <w:lang w:val="en-GB"/>
        </w:rPr>
      </w:pPr>
    </w:p>
    <w:p w14:paraId="56F9ADE1" w14:textId="754E074B" w:rsidR="00513949" w:rsidRPr="00AD7EBC" w:rsidRDefault="00513949" w:rsidP="00513949">
      <w:pPr>
        <w:pStyle w:val="BodyText"/>
        <w:jc w:val="both"/>
        <w:rPr>
          <w:sz w:val="24"/>
          <w:lang w:val="en-GB"/>
        </w:rPr>
      </w:pPr>
    </w:p>
    <w:p w14:paraId="43907D89" w14:textId="77777777" w:rsidR="00513949" w:rsidRPr="00AD7EBC" w:rsidRDefault="00513949" w:rsidP="00513949">
      <w:pPr>
        <w:pStyle w:val="BodyText"/>
        <w:jc w:val="both"/>
        <w:rPr>
          <w:sz w:val="24"/>
          <w:lang w:val="en-GB"/>
        </w:rPr>
      </w:pPr>
    </w:p>
    <w:p w14:paraId="192CC0B9" w14:textId="54F34C7D" w:rsidR="00513949" w:rsidRPr="00AD7EBC" w:rsidRDefault="00513949" w:rsidP="00011402">
      <w:pPr>
        <w:pStyle w:val="BodyText"/>
        <w:jc w:val="both"/>
        <w:outlineLvl w:val="0"/>
        <w:rPr>
          <w:sz w:val="24"/>
          <w:lang w:val="en-GB"/>
        </w:rPr>
      </w:pPr>
      <w:r w:rsidRPr="00AD7EBC">
        <w:rPr>
          <w:sz w:val="24"/>
          <w:lang w:val="en-GB"/>
        </w:rPr>
        <w:t xml:space="preserve">Version </w:t>
      </w:r>
      <w:r w:rsidR="00B80445" w:rsidRPr="00AD7EBC">
        <w:rPr>
          <w:sz w:val="24"/>
          <w:lang w:val="en-GB"/>
        </w:rPr>
        <w:t>2</w:t>
      </w:r>
    </w:p>
    <w:p w14:paraId="64EA256A" w14:textId="77777777" w:rsidR="00513949" w:rsidRPr="00AD7EBC" w:rsidRDefault="00513949" w:rsidP="00513949">
      <w:pPr>
        <w:pStyle w:val="BodyText"/>
        <w:jc w:val="both"/>
        <w:rPr>
          <w:sz w:val="24"/>
          <w:lang w:val="en-GB"/>
        </w:rPr>
      </w:pPr>
    </w:p>
    <w:p w14:paraId="695E1F55" w14:textId="77777777" w:rsidR="00581AA9" w:rsidRDefault="00B80445" w:rsidP="00581AA9">
      <w:pPr>
        <w:pStyle w:val="BodyText"/>
        <w:jc w:val="both"/>
        <w:rPr>
          <w:sz w:val="24"/>
          <w:lang w:val="en-GB"/>
        </w:rPr>
      </w:pPr>
      <w:r w:rsidRPr="00AD7EBC">
        <w:rPr>
          <w:sz w:val="24"/>
          <w:lang w:val="en-GB"/>
        </w:rPr>
        <w:t>February</w:t>
      </w:r>
      <w:r w:rsidR="00513949" w:rsidRPr="00AD7EBC">
        <w:rPr>
          <w:sz w:val="24"/>
          <w:lang w:val="en-GB"/>
        </w:rPr>
        <w:t xml:space="preserve"> 201</w:t>
      </w:r>
      <w:r w:rsidRPr="00AD7EBC">
        <w:rPr>
          <w:sz w:val="24"/>
          <w:lang w:val="en-GB"/>
        </w:rPr>
        <w:t>8</w:t>
      </w:r>
    </w:p>
    <w:sdt>
      <w:sdtPr>
        <w:rPr>
          <w:rFonts w:ascii="Arial" w:eastAsia="Arial" w:hAnsi="Arial" w:cs="Arial"/>
          <w:b w:val="0"/>
          <w:bCs w:val="0"/>
          <w:color w:val="auto"/>
          <w:sz w:val="22"/>
          <w:szCs w:val="22"/>
        </w:rPr>
        <w:id w:val="2069754553"/>
        <w:docPartObj>
          <w:docPartGallery w:val="Table of Contents"/>
          <w:docPartUnique/>
        </w:docPartObj>
      </w:sdtPr>
      <w:sdtEndPr>
        <w:rPr>
          <w:noProof/>
        </w:rPr>
      </w:sdtEndPr>
      <w:sdtContent>
        <w:p w14:paraId="05F95732" w14:textId="53D8C29D" w:rsidR="00581AA9" w:rsidRDefault="00581AA9">
          <w:pPr>
            <w:pStyle w:val="TOCHeading"/>
          </w:pPr>
          <w:r>
            <w:t>Table of Contents</w:t>
          </w:r>
        </w:p>
        <w:p w14:paraId="1BF56092" w14:textId="77777777" w:rsidR="00903E25" w:rsidRDefault="00903E25" w:rsidP="00903E25">
          <w:pPr>
            <w:pStyle w:val="TOC2"/>
            <w:tabs>
              <w:tab w:val="left" w:pos="720"/>
              <w:tab w:val="right" w:leader="dot" w:pos="9350"/>
            </w:tabs>
            <w:ind w:left="0"/>
          </w:pPr>
          <w:bookmarkStart w:id="0" w:name="_GoBack"/>
          <w:bookmarkEnd w:id="0"/>
        </w:p>
        <w:p w14:paraId="6B005805" w14:textId="7DE381BE" w:rsidR="00903E25" w:rsidRDefault="00581AA9">
          <w:pPr>
            <w:pStyle w:val="TOC2"/>
            <w:tabs>
              <w:tab w:val="left" w:pos="720"/>
              <w:tab w:val="right" w:leader="dot" w:pos="9350"/>
            </w:tabs>
            <w:rPr>
              <w:rFonts w:asciiTheme="minorHAnsi" w:eastAsiaTheme="minorEastAsia" w:hAnsiTheme="minorHAnsi" w:cstheme="minorBidi"/>
              <w:noProof/>
              <w:sz w:val="24"/>
              <w:szCs w:val="24"/>
              <w:lang w:val="en-GB" w:eastAsia="en-GB"/>
            </w:rPr>
          </w:pPr>
          <w:r>
            <w:fldChar w:fldCharType="begin"/>
          </w:r>
          <w:r>
            <w:instrText xml:space="preserve"> TOC \o "2-</w:instrText>
          </w:r>
          <w:r w:rsidR="00903E25">
            <w:instrText>2</w:instrText>
          </w:r>
          <w:r>
            <w:instrText xml:space="preserve">" \h \z \u </w:instrText>
          </w:r>
          <w:r>
            <w:fldChar w:fldCharType="separate"/>
          </w:r>
          <w:hyperlink w:anchor="_Toc506203075" w:history="1">
            <w:r w:rsidR="00903E25" w:rsidRPr="00CC15CA">
              <w:rPr>
                <w:rStyle w:val="Hyperlink"/>
                <w:bCs/>
                <w:noProof/>
                <w:spacing w:val="-1"/>
              </w:rPr>
              <w:t>1.</w:t>
            </w:r>
            <w:r w:rsidR="00903E25">
              <w:rPr>
                <w:rFonts w:asciiTheme="minorHAnsi" w:eastAsiaTheme="minorEastAsia" w:hAnsiTheme="minorHAnsi" w:cstheme="minorBidi"/>
                <w:noProof/>
                <w:sz w:val="24"/>
                <w:szCs w:val="24"/>
                <w:lang w:val="en-GB" w:eastAsia="en-GB"/>
              </w:rPr>
              <w:tab/>
            </w:r>
            <w:r w:rsidR="00903E25" w:rsidRPr="00CC15CA">
              <w:rPr>
                <w:rStyle w:val="Hyperlink"/>
                <w:noProof/>
              </w:rPr>
              <w:t>Introduction</w:t>
            </w:r>
            <w:r w:rsidR="00903E25">
              <w:rPr>
                <w:noProof/>
                <w:webHidden/>
              </w:rPr>
              <w:tab/>
            </w:r>
            <w:r w:rsidR="00903E25">
              <w:rPr>
                <w:noProof/>
                <w:webHidden/>
              </w:rPr>
              <w:fldChar w:fldCharType="begin"/>
            </w:r>
            <w:r w:rsidR="00903E25">
              <w:rPr>
                <w:noProof/>
                <w:webHidden/>
              </w:rPr>
              <w:instrText xml:space="preserve"> PAGEREF _Toc506203075 \h </w:instrText>
            </w:r>
            <w:r w:rsidR="00903E25">
              <w:rPr>
                <w:noProof/>
                <w:webHidden/>
              </w:rPr>
            </w:r>
            <w:r w:rsidR="00903E25">
              <w:rPr>
                <w:noProof/>
                <w:webHidden/>
              </w:rPr>
              <w:fldChar w:fldCharType="separate"/>
            </w:r>
            <w:r w:rsidR="00903E25">
              <w:rPr>
                <w:noProof/>
                <w:webHidden/>
              </w:rPr>
              <w:t>3</w:t>
            </w:r>
            <w:r w:rsidR="00903E25">
              <w:rPr>
                <w:noProof/>
                <w:webHidden/>
              </w:rPr>
              <w:fldChar w:fldCharType="end"/>
            </w:r>
          </w:hyperlink>
        </w:p>
        <w:p w14:paraId="073DAAAF" w14:textId="459E99DF" w:rsidR="00903E25" w:rsidRDefault="00903E25">
          <w:pPr>
            <w:pStyle w:val="TOC2"/>
            <w:tabs>
              <w:tab w:val="left" w:pos="720"/>
              <w:tab w:val="right" w:leader="dot" w:pos="9350"/>
            </w:tabs>
            <w:rPr>
              <w:rFonts w:asciiTheme="minorHAnsi" w:eastAsiaTheme="minorEastAsia" w:hAnsiTheme="minorHAnsi" w:cstheme="minorBidi"/>
              <w:noProof/>
              <w:sz w:val="24"/>
              <w:szCs w:val="24"/>
              <w:lang w:val="en-GB" w:eastAsia="en-GB"/>
            </w:rPr>
          </w:pPr>
          <w:hyperlink w:anchor="_Toc506203076" w:history="1">
            <w:r w:rsidRPr="00CC15CA">
              <w:rPr>
                <w:rStyle w:val="Hyperlink"/>
                <w:bCs/>
                <w:noProof/>
                <w:spacing w:val="-1"/>
              </w:rPr>
              <w:t>2.</w:t>
            </w:r>
            <w:r>
              <w:rPr>
                <w:rFonts w:asciiTheme="minorHAnsi" w:eastAsiaTheme="minorEastAsia" w:hAnsiTheme="minorHAnsi" w:cstheme="minorBidi"/>
                <w:noProof/>
                <w:sz w:val="24"/>
                <w:szCs w:val="24"/>
                <w:lang w:val="en-GB" w:eastAsia="en-GB"/>
              </w:rPr>
              <w:tab/>
            </w:r>
            <w:r w:rsidRPr="00CC15CA">
              <w:rPr>
                <w:rStyle w:val="Hyperlink"/>
                <w:noProof/>
              </w:rPr>
              <w:t>Learning from GEC 1</w:t>
            </w:r>
            <w:r>
              <w:rPr>
                <w:noProof/>
                <w:webHidden/>
              </w:rPr>
              <w:tab/>
            </w:r>
            <w:r>
              <w:rPr>
                <w:noProof/>
                <w:webHidden/>
              </w:rPr>
              <w:fldChar w:fldCharType="begin"/>
            </w:r>
            <w:r>
              <w:rPr>
                <w:noProof/>
                <w:webHidden/>
              </w:rPr>
              <w:instrText xml:space="preserve"> PAGEREF _Toc506203076 \h </w:instrText>
            </w:r>
            <w:r>
              <w:rPr>
                <w:noProof/>
                <w:webHidden/>
              </w:rPr>
            </w:r>
            <w:r>
              <w:rPr>
                <w:noProof/>
                <w:webHidden/>
              </w:rPr>
              <w:fldChar w:fldCharType="separate"/>
            </w:r>
            <w:r>
              <w:rPr>
                <w:noProof/>
                <w:webHidden/>
              </w:rPr>
              <w:t>6</w:t>
            </w:r>
            <w:r>
              <w:rPr>
                <w:noProof/>
                <w:webHidden/>
              </w:rPr>
              <w:fldChar w:fldCharType="end"/>
            </w:r>
          </w:hyperlink>
        </w:p>
        <w:p w14:paraId="63C9C095" w14:textId="64D38F66" w:rsidR="00903E25" w:rsidRDefault="00903E25">
          <w:pPr>
            <w:pStyle w:val="TOC2"/>
            <w:tabs>
              <w:tab w:val="left" w:pos="720"/>
              <w:tab w:val="right" w:leader="dot" w:pos="9350"/>
            </w:tabs>
            <w:rPr>
              <w:rFonts w:asciiTheme="minorHAnsi" w:eastAsiaTheme="minorEastAsia" w:hAnsiTheme="minorHAnsi" w:cstheme="minorBidi"/>
              <w:noProof/>
              <w:sz w:val="24"/>
              <w:szCs w:val="24"/>
              <w:lang w:val="en-GB" w:eastAsia="en-GB"/>
            </w:rPr>
          </w:pPr>
          <w:hyperlink w:anchor="_Toc506203077" w:history="1">
            <w:r w:rsidRPr="00CC15CA">
              <w:rPr>
                <w:rStyle w:val="Hyperlink"/>
                <w:bCs/>
                <w:noProof/>
                <w:spacing w:val="-1"/>
              </w:rPr>
              <w:t>3.</w:t>
            </w:r>
            <w:r>
              <w:rPr>
                <w:rFonts w:asciiTheme="minorHAnsi" w:eastAsiaTheme="minorEastAsia" w:hAnsiTheme="minorHAnsi" w:cstheme="minorBidi"/>
                <w:noProof/>
                <w:sz w:val="24"/>
                <w:szCs w:val="24"/>
                <w:lang w:val="en-GB" w:eastAsia="en-GB"/>
              </w:rPr>
              <w:tab/>
            </w:r>
            <w:r w:rsidRPr="00CC15CA">
              <w:rPr>
                <w:rStyle w:val="Hyperlink"/>
                <w:noProof/>
              </w:rPr>
              <w:t>Monitoring</w:t>
            </w:r>
            <w:r>
              <w:rPr>
                <w:noProof/>
                <w:webHidden/>
              </w:rPr>
              <w:tab/>
            </w:r>
            <w:r>
              <w:rPr>
                <w:noProof/>
                <w:webHidden/>
              </w:rPr>
              <w:fldChar w:fldCharType="begin"/>
            </w:r>
            <w:r>
              <w:rPr>
                <w:noProof/>
                <w:webHidden/>
              </w:rPr>
              <w:instrText xml:space="preserve"> PAGEREF _Toc506203077 \h </w:instrText>
            </w:r>
            <w:r>
              <w:rPr>
                <w:noProof/>
                <w:webHidden/>
              </w:rPr>
            </w:r>
            <w:r>
              <w:rPr>
                <w:noProof/>
                <w:webHidden/>
              </w:rPr>
              <w:fldChar w:fldCharType="separate"/>
            </w:r>
            <w:r>
              <w:rPr>
                <w:noProof/>
                <w:webHidden/>
              </w:rPr>
              <w:t>8</w:t>
            </w:r>
            <w:r>
              <w:rPr>
                <w:noProof/>
                <w:webHidden/>
              </w:rPr>
              <w:fldChar w:fldCharType="end"/>
            </w:r>
          </w:hyperlink>
        </w:p>
        <w:p w14:paraId="4DEDF922" w14:textId="14D204F4" w:rsidR="00903E25" w:rsidRDefault="00903E25">
          <w:pPr>
            <w:pStyle w:val="TOC2"/>
            <w:tabs>
              <w:tab w:val="left" w:pos="720"/>
              <w:tab w:val="right" w:leader="dot" w:pos="9350"/>
            </w:tabs>
            <w:rPr>
              <w:rFonts w:asciiTheme="minorHAnsi" w:eastAsiaTheme="minorEastAsia" w:hAnsiTheme="minorHAnsi" w:cstheme="minorBidi"/>
              <w:noProof/>
              <w:sz w:val="24"/>
              <w:szCs w:val="24"/>
              <w:lang w:val="en-GB" w:eastAsia="en-GB"/>
            </w:rPr>
          </w:pPr>
          <w:hyperlink w:anchor="_Toc506203078" w:history="1">
            <w:r w:rsidRPr="00CC15CA">
              <w:rPr>
                <w:rStyle w:val="Hyperlink"/>
                <w:bCs/>
                <w:noProof/>
                <w:spacing w:val="-1"/>
              </w:rPr>
              <w:t>4.</w:t>
            </w:r>
            <w:r>
              <w:rPr>
                <w:rFonts w:asciiTheme="minorHAnsi" w:eastAsiaTheme="minorEastAsia" w:hAnsiTheme="minorHAnsi" w:cstheme="minorBidi"/>
                <w:noProof/>
                <w:sz w:val="24"/>
                <w:szCs w:val="24"/>
                <w:lang w:val="en-GB" w:eastAsia="en-GB"/>
              </w:rPr>
              <w:tab/>
            </w:r>
            <w:r w:rsidRPr="00CC15CA">
              <w:rPr>
                <w:rStyle w:val="Hyperlink"/>
                <w:noProof/>
              </w:rPr>
              <w:t>Key evaluation questions</w:t>
            </w:r>
            <w:r>
              <w:rPr>
                <w:noProof/>
                <w:webHidden/>
              </w:rPr>
              <w:tab/>
            </w:r>
            <w:r>
              <w:rPr>
                <w:noProof/>
                <w:webHidden/>
              </w:rPr>
              <w:fldChar w:fldCharType="begin"/>
            </w:r>
            <w:r>
              <w:rPr>
                <w:noProof/>
                <w:webHidden/>
              </w:rPr>
              <w:instrText xml:space="preserve"> PAGEREF _Toc506203078 \h </w:instrText>
            </w:r>
            <w:r>
              <w:rPr>
                <w:noProof/>
                <w:webHidden/>
              </w:rPr>
            </w:r>
            <w:r>
              <w:rPr>
                <w:noProof/>
                <w:webHidden/>
              </w:rPr>
              <w:fldChar w:fldCharType="separate"/>
            </w:r>
            <w:r>
              <w:rPr>
                <w:noProof/>
                <w:webHidden/>
              </w:rPr>
              <w:t>12</w:t>
            </w:r>
            <w:r>
              <w:rPr>
                <w:noProof/>
                <w:webHidden/>
              </w:rPr>
              <w:fldChar w:fldCharType="end"/>
            </w:r>
          </w:hyperlink>
        </w:p>
        <w:p w14:paraId="3D7B617F" w14:textId="68A9504B" w:rsidR="00903E25" w:rsidRDefault="00903E25">
          <w:pPr>
            <w:pStyle w:val="TOC2"/>
            <w:tabs>
              <w:tab w:val="left" w:pos="720"/>
              <w:tab w:val="right" w:leader="dot" w:pos="9350"/>
            </w:tabs>
            <w:rPr>
              <w:rFonts w:asciiTheme="minorHAnsi" w:eastAsiaTheme="minorEastAsia" w:hAnsiTheme="minorHAnsi" w:cstheme="minorBidi"/>
              <w:noProof/>
              <w:sz w:val="24"/>
              <w:szCs w:val="24"/>
              <w:lang w:val="en-GB" w:eastAsia="en-GB"/>
            </w:rPr>
          </w:pPr>
          <w:hyperlink w:anchor="_Toc506203079" w:history="1">
            <w:r w:rsidRPr="00CC15CA">
              <w:rPr>
                <w:rStyle w:val="Hyperlink"/>
                <w:bCs/>
                <w:noProof/>
                <w:spacing w:val="-1"/>
              </w:rPr>
              <w:t>5.</w:t>
            </w:r>
            <w:r>
              <w:rPr>
                <w:rFonts w:asciiTheme="minorHAnsi" w:eastAsiaTheme="minorEastAsia" w:hAnsiTheme="minorHAnsi" w:cstheme="minorBidi"/>
                <w:noProof/>
                <w:sz w:val="24"/>
                <w:szCs w:val="24"/>
                <w:lang w:val="en-GB" w:eastAsia="en-GB"/>
              </w:rPr>
              <w:tab/>
            </w:r>
            <w:r w:rsidRPr="00CC15CA">
              <w:rPr>
                <w:rStyle w:val="Hyperlink"/>
                <w:noProof/>
              </w:rPr>
              <w:t>Evaluation design</w:t>
            </w:r>
            <w:r>
              <w:rPr>
                <w:noProof/>
                <w:webHidden/>
              </w:rPr>
              <w:tab/>
            </w:r>
            <w:r>
              <w:rPr>
                <w:noProof/>
                <w:webHidden/>
              </w:rPr>
              <w:fldChar w:fldCharType="begin"/>
            </w:r>
            <w:r>
              <w:rPr>
                <w:noProof/>
                <w:webHidden/>
              </w:rPr>
              <w:instrText xml:space="preserve"> PAGEREF _Toc506203079 \h </w:instrText>
            </w:r>
            <w:r>
              <w:rPr>
                <w:noProof/>
                <w:webHidden/>
              </w:rPr>
            </w:r>
            <w:r>
              <w:rPr>
                <w:noProof/>
                <w:webHidden/>
              </w:rPr>
              <w:fldChar w:fldCharType="separate"/>
            </w:r>
            <w:r>
              <w:rPr>
                <w:noProof/>
                <w:webHidden/>
              </w:rPr>
              <w:t>14</w:t>
            </w:r>
            <w:r>
              <w:rPr>
                <w:noProof/>
                <w:webHidden/>
              </w:rPr>
              <w:fldChar w:fldCharType="end"/>
            </w:r>
          </w:hyperlink>
        </w:p>
        <w:p w14:paraId="41581E4D" w14:textId="33CDED44" w:rsidR="00903E25" w:rsidRDefault="00903E25">
          <w:pPr>
            <w:pStyle w:val="TOC2"/>
            <w:tabs>
              <w:tab w:val="left" w:pos="720"/>
              <w:tab w:val="right" w:leader="dot" w:pos="9350"/>
            </w:tabs>
            <w:rPr>
              <w:rFonts w:asciiTheme="minorHAnsi" w:eastAsiaTheme="minorEastAsia" w:hAnsiTheme="minorHAnsi" w:cstheme="minorBidi"/>
              <w:noProof/>
              <w:sz w:val="24"/>
              <w:szCs w:val="24"/>
              <w:lang w:val="en-GB" w:eastAsia="en-GB"/>
            </w:rPr>
          </w:pPr>
          <w:hyperlink w:anchor="_Toc506203080" w:history="1">
            <w:r w:rsidRPr="00CC15CA">
              <w:rPr>
                <w:rStyle w:val="Hyperlink"/>
                <w:bCs/>
                <w:noProof/>
                <w:spacing w:val="-1"/>
              </w:rPr>
              <w:t>6.</w:t>
            </w:r>
            <w:r>
              <w:rPr>
                <w:rFonts w:asciiTheme="minorHAnsi" w:eastAsiaTheme="minorEastAsia" w:hAnsiTheme="minorHAnsi" w:cstheme="minorBidi"/>
                <w:noProof/>
                <w:sz w:val="24"/>
                <w:szCs w:val="24"/>
                <w:lang w:val="en-GB" w:eastAsia="en-GB"/>
              </w:rPr>
              <w:tab/>
            </w:r>
            <w:r w:rsidRPr="00CC15CA">
              <w:rPr>
                <w:rStyle w:val="Hyperlink"/>
                <w:noProof/>
              </w:rPr>
              <w:t>Sampling framework</w:t>
            </w:r>
            <w:r>
              <w:rPr>
                <w:noProof/>
                <w:webHidden/>
              </w:rPr>
              <w:tab/>
            </w:r>
            <w:r>
              <w:rPr>
                <w:noProof/>
                <w:webHidden/>
              </w:rPr>
              <w:fldChar w:fldCharType="begin"/>
            </w:r>
            <w:r>
              <w:rPr>
                <w:noProof/>
                <w:webHidden/>
              </w:rPr>
              <w:instrText xml:space="preserve"> PAGEREF _Toc506203080 \h </w:instrText>
            </w:r>
            <w:r>
              <w:rPr>
                <w:noProof/>
                <w:webHidden/>
              </w:rPr>
            </w:r>
            <w:r>
              <w:rPr>
                <w:noProof/>
                <w:webHidden/>
              </w:rPr>
              <w:fldChar w:fldCharType="separate"/>
            </w:r>
            <w:r>
              <w:rPr>
                <w:noProof/>
                <w:webHidden/>
              </w:rPr>
              <w:t>26</w:t>
            </w:r>
            <w:r>
              <w:rPr>
                <w:noProof/>
                <w:webHidden/>
              </w:rPr>
              <w:fldChar w:fldCharType="end"/>
            </w:r>
          </w:hyperlink>
        </w:p>
        <w:p w14:paraId="6C8F4FA7" w14:textId="399A3F98" w:rsidR="00903E25" w:rsidRDefault="00903E25">
          <w:pPr>
            <w:pStyle w:val="TOC2"/>
            <w:tabs>
              <w:tab w:val="left" w:pos="720"/>
              <w:tab w:val="right" w:leader="dot" w:pos="9350"/>
            </w:tabs>
            <w:rPr>
              <w:rFonts w:asciiTheme="minorHAnsi" w:eastAsiaTheme="minorEastAsia" w:hAnsiTheme="minorHAnsi" w:cstheme="minorBidi"/>
              <w:noProof/>
              <w:sz w:val="24"/>
              <w:szCs w:val="24"/>
              <w:lang w:val="en-GB" w:eastAsia="en-GB"/>
            </w:rPr>
          </w:pPr>
          <w:hyperlink w:anchor="_Toc506203081" w:history="1">
            <w:r w:rsidRPr="00CC15CA">
              <w:rPr>
                <w:rStyle w:val="Hyperlink"/>
                <w:bCs/>
                <w:noProof/>
                <w:spacing w:val="-1"/>
              </w:rPr>
              <w:t>7.</w:t>
            </w:r>
            <w:r>
              <w:rPr>
                <w:rFonts w:asciiTheme="minorHAnsi" w:eastAsiaTheme="minorEastAsia" w:hAnsiTheme="minorHAnsi" w:cstheme="minorBidi"/>
                <w:noProof/>
                <w:sz w:val="24"/>
                <w:szCs w:val="24"/>
                <w:lang w:val="en-GB" w:eastAsia="en-GB"/>
              </w:rPr>
              <w:tab/>
            </w:r>
            <w:r w:rsidRPr="00CC15CA">
              <w:rPr>
                <w:rStyle w:val="Hyperlink"/>
                <w:noProof/>
              </w:rPr>
              <w:t>Baseline study</w:t>
            </w:r>
            <w:r>
              <w:rPr>
                <w:noProof/>
                <w:webHidden/>
              </w:rPr>
              <w:tab/>
            </w:r>
            <w:r>
              <w:rPr>
                <w:noProof/>
                <w:webHidden/>
              </w:rPr>
              <w:fldChar w:fldCharType="begin"/>
            </w:r>
            <w:r>
              <w:rPr>
                <w:noProof/>
                <w:webHidden/>
              </w:rPr>
              <w:instrText xml:space="preserve"> PAGEREF _Toc506203081 \h </w:instrText>
            </w:r>
            <w:r>
              <w:rPr>
                <w:noProof/>
                <w:webHidden/>
              </w:rPr>
            </w:r>
            <w:r>
              <w:rPr>
                <w:noProof/>
                <w:webHidden/>
              </w:rPr>
              <w:fldChar w:fldCharType="separate"/>
            </w:r>
            <w:r>
              <w:rPr>
                <w:noProof/>
                <w:webHidden/>
              </w:rPr>
              <w:t>35</w:t>
            </w:r>
            <w:r>
              <w:rPr>
                <w:noProof/>
                <w:webHidden/>
              </w:rPr>
              <w:fldChar w:fldCharType="end"/>
            </w:r>
          </w:hyperlink>
        </w:p>
        <w:p w14:paraId="50EFB825" w14:textId="4023B9F9" w:rsidR="00903E25" w:rsidRDefault="00903E25">
          <w:pPr>
            <w:pStyle w:val="TOC2"/>
            <w:tabs>
              <w:tab w:val="left" w:pos="720"/>
              <w:tab w:val="right" w:leader="dot" w:pos="9350"/>
            </w:tabs>
            <w:rPr>
              <w:rFonts w:asciiTheme="minorHAnsi" w:eastAsiaTheme="minorEastAsia" w:hAnsiTheme="minorHAnsi" w:cstheme="minorBidi"/>
              <w:noProof/>
              <w:sz w:val="24"/>
              <w:szCs w:val="24"/>
              <w:lang w:val="en-GB" w:eastAsia="en-GB"/>
            </w:rPr>
          </w:pPr>
          <w:hyperlink w:anchor="_Toc506203082" w:history="1">
            <w:r w:rsidRPr="00CC15CA">
              <w:rPr>
                <w:rStyle w:val="Hyperlink"/>
                <w:bCs/>
                <w:noProof/>
                <w:spacing w:val="-1"/>
              </w:rPr>
              <w:t>8.</w:t>
            </w:r>
            <w:r>
              <w:rPr>
                <w:rFonts w:asciiTheme="minorHAnsi" w:eastAsiaTheme="minorEastAsia" w:hAnsiTheme="minorHAnsi" w:cstheme="minorBidi"/>
                <w:noProof/>
                <w:sz w:val="24"/>
                <w:szCs w:val="24"/>
                <w:lang w:val="en-GB" w:eastAsia="en-GB"/>
              </w:rPr>
              <w:tab/>
            </w:r>
            <w:r w:rsidRPr="00CC15CA">
              <w:rPr>
                <w:rStyle w:val="Hyperlink"/>
                <w:noProof/>
              </w:rPr>
              <w:t>Evaluation governance</w:t>
            </w:r>
            <w:r>
              <w:rPr>
                <w:noProof/>
                <w:webHidden/>
              </w:rPr>
              <w:tab/>
            </w:r>
            <w:r>
              <w:rPr>
                <w:noProof/>
                <w:webHidden/>
              </w:rPr>
              <w:fldChar w:fldCharType="begin"/>
            </w:r>
            <w:r>
              <w:rPr>
                <w:noProof/>
                <w:webHidden/>
              </w:rPr>
              <w:instrText xml:space="preserve"> PAGEREF _Toc506203082 \h </w:instrText>
            </w:r>
            <w:r>
              <w:rPr>
                <w:noProof/>
                <w:webHidden/>
              </w:rPr>
            </w:r>
            <w:r>
              <w:rPr>
                <w:noProof/>
                <w:webHidden/>
              </w:rPr>
              <w:fldChar w:fldCharType="separate"/>
            </w:r>
            <w:r>
              <w:rPr>
                <w:noProof/>
                <w:webHidden/>
              </w:rPr>
              <w:t>35</w:t>
            </w:r>
            <w:r>
              <w:rPr>
                <w:noProof/>
                <w:webHidden/>
              </w:rPr>
              <w:fldChar w:fldCharType="end"/>
            </w:r>
          </w:hyperlink>
        </w:p>
        <w:p w14:paraId="177854A9" w14:textId="1DC0CBEB" w:rsidR="00903E25" w:rsidRDefault="00903E25">
          <w:pPr>
            <w:pStyle w:val="TOC2"/>
            <w:tabs>
              <w:tab w:val="left" w:pos="720"/>
              <w:tab w:val="right" w:leader="dot" w:pos="9350"/>
            </w:tabs>
            <w:rPr>
              <w:rFonts w:asciiTheme="minorHAnsi" w:eastAsiaTheme="minorEastAsia" w:hAnsiTheme="minorHAnsi" w:cstheme="minorBidi"/>
              <w:noProof/>
              <w:sz w:val="24"/>
              <w:szCs w:val="24"/>
              <w:lang w:val="en-GB" w:eastAsia="en-GB"/>
            </w:rPr>
          </w:pPr>
          <w:hyperlink w:anchor="_Toc506203083" w:history="1">
            <w:r w:rsidRPr="00CC15CA">
              <w:rPr>
                <w:rStyle w:val="Hyperlink"/>
                <w:bCs/>
                <w:noProof/>
                <w:spacing w:val="-1"/>
              </w:rPr>
              <w:t>9.</w:t>
            </w:r>
            <w:r>
              <w:rPr>
                <w:rFonts w:asciiTheme="minorHAnsi" w:eastAsiaTheme="minorEastAsia" w:hAnsiTheme="minorHAnsi" w:cstheme="minorBidi"/>
                <w:noProof/>
                <w:sz w:val="24"/>
                <w:szCs w:val="24"/>
                <w:lang w:val="en-GB" w:eastAsia="en-GB"/>
              </w:rPr>
              <w:tab/>
            </w:r>
            <w:r w:rsidRPr="00CC15CA">
              <w:rPr>
                <w:rStyle w:val="Hyperlink"/>
                <w:noProof/>
              </w:rPr>
              <w:t>Data quality assurance</w:t>
            </w:r>
            <w:r>
              <w:rPr>
                <w:noProof/>
                <w:webHidden/>
              </w:rPr>
              <w:tab/>
            </w:r>
            <w:r>
              <w:rPr>
                <w:noProof/>
                <w:webHidden/>
              </w:rPr>
              <w:fldChar w:fldCharType="begin"/>
            </w:r>
            <w:r>
              <w:rPr>
                <w:noProof/>
                <w:webHidden/>
              </w:rPr>
              <w:instrText xml:space="preserve"> PAGEREF _Toc506203083 \h </w:instrText>
            </w:r>
            <w:r>
              <w:rPr>
                <w:noProof/>
                <w:webHidden/>
              </w:rPr>
            </w:r>
            <w:r>
              <w:rPr>
                <w:noProof/>
                <w:webHidden/>
              </w:rPr>
              <w:fldChar w:fldCharType="separate"/>
            </w:r>
            <w:r>
              <w:rPr>
                <w:noProof/>
                <w:webHidden/>
              </w:rPr>
              <w:t>37</w:t>
            </w:r>
            <w:r>
              <w:rPr>
                <w:noProof/>
                <w:webHidden/>
              </w:rPr>
              <w:fldChar w:fldCharType="end"/>
            </w:r>
          </w:hyperlink>
        </w:p>
        <w:p w14:paraId="7E549C7A" w14:textId="7CC6EADF" w:rsidR="00903E25" w:rsidRDefault="00903E25">
          <w:pPr>
            <w:pStyle w:val="TOC2"/>
            <w:tabs>
              <w:tab w:val="left" w:pos="960"/>
              <w:tab w:val="right" w:leader="dot" w:pos="9350"/>
            </w:tabs>
            <w:rPr>
              <w:rFonts w:asciiTheme="minorHAnsi" w:eastAsiaTheme="minorEastAsia" w:hAnsiTheme="minorHAnsi" w:cstheme="minorBidi"/>
              <w:noProof/>
              <w:sz w:val="24"/>
              <w:szCs w:val="24"/>
              <w:lang w:val="en-GB" w:eastAsia="en-GB"/>
            </w:rPr>
          </w:pPr>
          <w:hyperlink w:anchor="_Toc506203084" w:history="1">
            <w:r w:rsidRPr="00CC15CA">
              <w:rPr>
                <w:rStyle w:val="Hyperlink"/>
                <w:bCs/>
                <w:noProof/>
                <w:spacing w:val="-1"/>
              </w:rPr>
              <w:t>10.</w:t>
            </w:r>
            <w:r>
              <w:rPr>
                <w:rFonts w:asciiTheme="minorHAnsi" w:eastAsiaTheme="minorEastAsia" w:hAnsiTheme="minorHAnsi" w:cstheme="minorBidi"/>
                <w:noProof/>
                <w:sz w:val="24"/>
                <w:szCs w:val="24"/>
                <w:lang w:val="en-GB" w:eastAsia="en-GB"/>
              </w:rPr>
              <w:tab/>
            </w:r>
            <w:r w:rsidRPr="00CC15CA">
              <w:rPr>
                <w:rStyle w:val="Hyperlink"/>
                <w:noProof/>
              </w:rPr>
              <w:t>Risks and risk management</w:t>
            </w:r>
            <w:r>
              <w:rPr>
                <w:noProof/>
                <w:webHidden/>
              </w:rPr>
              <w:tab/>
            </w:r>
            <w:r>
              <w:rPr>
                <w:noProof/>
                <w:webHidden/>
              </w:rPr>
              <w:fldChar w:fldCharType="begin"/>
            </w:r>
            <w:r>
              <w:rPr>
                <w:noProof/>
                <w:webHidden/>
              </w:rPr>
              <w:instrText xml:space="preserve"> PAGEREF _Toc506203084 \h </w:instrText>
            </w:r>
            <w:r>
              <w:rPr>
                <w:noProof/>
                <w:webHidden/>
              </w:rPr>
            </w:r>
            <w:r>
              <w:rPr>
                <w:noProof/>
                <w:webHidden/>
              </w:rPr>
              <w:fldChar w:fldCharType="separate"/>
            </w:r>
            <w:r>
              <w:rPr>
                <w:noProof/>
                <w:webHidden/>
              </w:rPr>
              <w:t>39</w:t>
            </w:r>
            <w:r>
              <w:rPr>
                <w:noProof/>
                <w:webHidden/>
              </w:rPr>
              <w:fldChar w:fldCharType="end"/>
            </w:r>
          </w:hyperlink>
        </w:p>
        <w:p w14:paraId="0F03E04C" w14:textId="34D1F786" w:rsidR="00903E25" w:rsidRDefault="00903E25">
          <w:pPr>
            <w:pStyle w:val="TOC2"/>
            <w:tabs>
              <w:tab w:val="left" w:pos="960"/>
              <w:tab w:val="right" w:leader="dot" w:pos="9350"/>
            </w:tabs>
            <w:rPr>
              <w:rFonts w:asciiTheme="minorHAnsi" w:eastAsiaTheme="minorEastAsia" w:hAnsiTheme="minorHAnsi" w:cstheme="minorBidi"/>
              <w:noProof/>
              <w:sz w:val="24"/>
              <w:szCs w:val="24"/>
              <w:lang w:val="en-GB" w:eastAsia="en-GB"/>
            </w:rPr>
          </w:pPr>
          <w:hyperlink w:anchor="_Toc506203085" w:history="1">
            <w:r w:rsidRPr="00CC15CA">
              <w:rPr>
                <w:rStyle w:val="Hyperlink"/>
                <w:bCs/>
                <w:noProof/>
                <w:spacing w:val="-1"/>
              </w:rPr>
              <w:t>11.</w:t>
            </w:r>
            <w:r>
              <w:rPr>
                <w:rFonts w:asciiTheme="minorHAnsi" w:eastAsiaTheme="minorEastAsia" w:hAnsiTheme="minorHAnsi" w:cstheme="minorBidi"/>
                <w:noProof/>
                <w:sz w:val="24"/>
                <w:szCs w:val="24"/>
                <w:lang w:val="en-GB" w:eastAsia="en-GB"/>
              </w:rPr>
              <w:tab/>
            </w:r>
            <w:r w:rsidRPr="00CC15CA">
              <w:rPr>
                <w:rStyle w:val="Hyperlink"/>
                <w:noProof/>
              </w:rPr>
              <w:t>Learning</w:t>
            </w:r>
            <w:r>
              <w:rPr>
                <w:noProof/>
                <w:webHidden/>
              </w:rPr>
              <w:tab/>
            </w:r>
            <w:r>
              <w:rPr>
                <w:noProof/>
                <w:webHidden/>
              </w:rPr>
              <w:fldChar w:fldCharType="begin"/>
            </w:r>
            <w:r>
              <w:rPr>
                <w:noProof/>
                <w:webHidden/>
              </w:rPr>
              <w:instrText xml:space="preserve"> PAGEREF _Toc506203085 \h </w:instrText>
            </w:r>
            <w:r>
              <w:rPr>
                <w:noProof/>
                <w:webHidden/>
              </w:rPr>
            </w:r>
            <w:r>
              <w:rPr>
                <w:noProof/>
                <w:webHidden/>
              </w:rPr>
              <w:fldChar w:fldCharType="separate"/>
            </w:r>
            <w:r>
              <w:rPr>
                <w:noProof/>
                <w:webHidden/>
              </w:rPr>
              <w:t>45</w:t>
            </w:r>
            <w:r>
              <w:rPr>
                <w:noProof/>
                <w:webHidden/>
              </w:rPr>
              <w:fldChar w:fldCharType="end"/>
            </w:r>
          </w:hyperlink>
        </w:p>
        <w:p w14:paraId="22C06D59" w14:textId="02635BED" w:rsidR="00903E25" w:rsidRDefault="00903E25">
          <w:pPr>
            <w:pStyle w:val="TOC2"/>
            <w:tabs>
              <w:tab w:val="left" w:pos="960"/>
              <w:tab w:val="right" w:leader="dot" w:pos="9350"/>
            </w:tabs>
            <w:rPr>
              <w:rFonts w:asciiTheme="minorHAnsi" w:eastAsiaTheme="minorEastAsia" w:hAnsiTheme="minorHAnsi" w:cstheme="minorBidi"/>
              <w:noProof/>
              <w:sz w:val="24"/>
              <w:szCs w:val="24"/>
              <w:lang w:val="en-GB" w:eastAsia="en-GB"/>
            </w:rPr>
          </w:pPr>
          <w:hyperlink w:anchor="_Toc506203086" w:history="1">
            <w:r w:rsidRPr="00CC15CA">
              <w:rPr>
                <w:rStyle w:val="Hyperlink"/>
                <w:bCs/>
                <w:noProof/>
                <w:spacing w:val="-1"/>
              </w:rPr>
              <w:t>12.</w:t>
            </w:r>
            <w:r>
              <w:rPr>
                <w:rFonts w:asciiTheme="minorHAnsi" w:eastAsiaTheme="minorEastAsia" w:hAnsiTheme="minorHAnsi" w:cstheme="minorBidi"/>
                <w:noProof/>
                <w:sz w:val="24"/>
                <w:szCs w:val="24"/>
                <w:lang w:val="en-GB" w:eastAsia="en-GB"/>
              </w:rPr>
              <w:tab/>
            </w:r>
            <w:r w:rsidRPr="00CC15CA">
              <w:rPr>
                <w:rStyle w:val="Hyperlink"/>
                <w:noProof/>
              </w:rPr>
              <w:t>Evaluation workplan</w:t>
            </w:r>
            <w:r>
              <w:rPr>
                <w:noProof/>
                <w:webHidden/>
              </w:rPr>
              <w:tab/>
            </w:r>
            <w:r>
              <w:rPr>
                <w:noProof/>
                <w:webHidden/>
              </w:rPr>
              <w:fldChar w:fldCharType="begin"/>
            </w:r>
            <w:r>
              <w:rPr>
                <w:noProof/>
                <w:webHidden/>
              </w:rPr>
              <w:instrText xml:space="preserve"> PAGEREF _Toc506203086 \h </w:instrText>
            </w:r>
            <w:r>
              <w:rPr>
                <w:noProof/>
                <w:webHidden/>
              </w:rPr>
            </w:r>
            <w:r>
              <w:rPr>
                <w:noProof/>
                <w:webHidden/>
              </w:rPr>
              <w:fldChar w:fldCharType="separate"/>
            </w:r>
            <w:r>
              <w:rPr>
                <w:noProof/>
                <w:webHidden/>
              </w:rPr>
              <w:t>48</w:t>
            </w:r>
            <w:r>
              <w:rPr>
                <w:noProof/>
                <w:webHidden/>
              </w:rPr>
              <w:fldChar w:fldCharType="end"/>
            </w:r>
          </w:hyperlink>
        </w:p>
        <w:p w14:paraId="4B2FA97A" w14:textId="1EC16F9C" w:rsidR="00903E25" w:rsidRDefault="00903E25">
          <w:pPr>
            <w:pStyle w:val="TOC2"/>
            <w:tabs>
              <w:tab w:val="left" w:pos="960"/>
              <w:tab w:val="right" w:leader="dot" w:pos="9350"/>
            </w:tabs>
            <w:rPr>
              <w:rFonts w:asciiTheme="minorHAnsi" w:eastAsiaTheme="minorEastAsia" w:hAnsiTheme="minorHAnsi" w:cstheme="minorBidi"/>
              <w:noProof/>
              <w:sz w:val="24"/>
              <w:szCs w:val="24"/>
              <w:lang w:val="en-GB" w:eastAsia="en-GB"/>
            </w:rPr>
          </w:pPr>
          <w:hyperlink w:anchor="_Toc506203087" w:history="1">
            <w:r w:rsidRPr="00CC15CA">
              <w:rPr>
                <w:rStyle w:val="Hyperlink"/>
                <w:bCs/>
                <w:noProof/>
                <w:spacing w:val="-1"/>
              </w:rPr>
              <w:t>13.</w:t>
            </w:r>
            <w:r>
              <w:rPr>
                <w:rFonts w:asciiTheme="minorHAnsi" w:eastAsiaTheme="minorEastAsia" w:hAnsiTheme="minorHAnsi" w:cstheme="minorBidi"/>
                <w:noProof/>
                <w:sz w:val="24"/>
                <w:szCs w:val="24"/>
                <w:lang w:val="en-GB" w:eastAsia="en-GB"/>
              </w:rPr>
              <w:tab/>
            </w:r>
            <w:r w:rsidRPr="00CC15CA">
              <w:rPr>
                <w:rStyle w:val="Hyperlink"/>
                <w:noProof/>
              </w:rPr>
              <w:t>Annexes</w:t>
            </w:r>
            <w:r>
              <w:rPr>
                <w:noProof/>
                <w:webHidden/>
              </w:rPr>
              <w:tab/>
            </w:r>
            <w:r>
              <w:rPr>
                <w:noProof/>
                <w:webHidden/>
              </w:rPr>
              <w:fldChar w:fldCharType="begin"/>
            </w:r>
            <w:r>
              <w:rPr>
                <w:noProof/>
                <w:webHidden/>
              </w:rPr>
              <w:instrText xml:space="preserve"> PAGEREF _Toc506203087 \h </w:instrText>
            </w:r>
            <w:r>
              <w:rPr>
                <w:noProof/>
                <w:webHidden/>
              </w:rPr>
            </w:r>
            <w:r>
              <w:rPr>
                <w:noProof/>
                <w:webHidden/>
              </w:rPr>
              <w:fldChar w:fldCharType="separate"/>
            </w:r>
            <w:r>
              <w:rPr>
                <w:noProof/>
                <w:webHidden/>
              </w:rPr>
              <w:t>50</w:t>
            </w:r>
            <w:r>
              <w:rPr>
                <w:noProof/>
                <w:webHidden/>
              </w:rPr>
              <w:fldChar w:fldCharType="end"/>
            </w:r>
          </w:hyperlink>
        </w:p>
        <w:p w14:paraId="4992BA5B" w14:textId="61F76591" w:rsidR="00581AA9" w:rsidRDefault="00581AA9">
          <w:r>
            <w:rPr>
              <w:b/>
              <w:bCs/>
              <w:noProof/>
            </w:rPr>
            <w:fldChar w:fldCharType="end"/>
          </w:r>
        </w:p>
      </w:sdtContent>
    </w:sdt>
    <w:p w14:paraId="655408BE" w14:textId="2642BD1F" w:rsidR="00BC0501" w:rsidRPr="00581AA9" w:rsidRDefault="00BC0501" w:rsidP="00581AA9">
      <w:pPr>
        <w:pStyle w:val="BodyText"/>
        <w:jc w:val="both"/>
        <w:rPr>
          <w:sz w:val="24"/>
          <w:lang w:val="en-GB"/>
        </w:rPr>
      </w:pPr>
      <w:r w:rsidRPr="00AD7EBC">
        <w:rPr>
          <w:b/>
          <w:sz w:val="40"/>
          <w:lang w:val="en-GB"/>
        </w:rPr>
        <w:br w:type="page"/>
      </w:r>
    </w:p>
    <w:p w14:paraId="63E052D6" w14:textId="77777777" w:rsidR="007C7D0F" w:rsidRPr="00AD7EBC" w:rsidRDefault="007C7D0F" w:rsidP="007C7D0F">
      <w:pPr>
        <w:pStyle w:val="BodyText"/>
        <w:spacing w:before="6"/>
        <w:rPr>
          <w:sz w:val="21"/>
          <w:lang w:val="en-GB"/>
        </w:rPr>
      </w:pPr>
    </w:p>
    <w:p w14:paraId="2FD6D893" w14:textId="4F3A2CE6" w:rsidR="007C7D0F" w:rsidRPr="00AD7EBC" w:rsidRDefault="007C7D0F" w:rsidP="00C21EEA">
      <w:pPr>
        <w:pStyle w:val="Heading2"/>
      </w:pPr>
      <w:bookmarkStart w:id="1" w:name="_Toc506203075"/>
      <w:r w:rsidRPr="00AD7EBC">
        <w:t>Introduction</w:t>
      </w:r>
      <w:bookmarkEnd w:id="1"/>
    </w:p>
    <w:p w14:paraId="22E9EDAC" w14:textId="77777777" w:rsidR="00682B5E" w:rsidRPr="00AD7EBC" w:rsidRDefault="00682B5E" w:rsidP="00BC0501">
      <w:pPr>
        <w:rPr>
          <w:i/>
          <w:lang w:val="en-GB"/>
        </w:rPr>
      </w:pPr>
    </w:p>
    <w:p w14:paraId="034F9849" w14:textId="77777777" w:rsidR="00682B5E" w:rsidRPr="00AD7EBC" w:rsidRDefault="00682B5E" w:rsidP="00B80445">
      <w:pPr>
        <w:jc w:val="both"/>
        <w:rPr>
          <w:lang w:val="en-GB"/>
        </w:rPr>
      </w:pPr>
      <w:r w:rsidRPr="00AD7EBC">
        <w:rPr>
          <w:lang w:val="en-GB"/>
        </w:rPr>
        <w:t>Roughly 80 million people live in the DRC; they are spread across an area the size of Western Europe. The population is forecast to double in the next 25 years following demographic trends throughout the continent. The population pyramid is also heavily weighted to the under-25s</w:t>
      </w:r>
      <w:r w:rsidRPr="00AD7EBC">
        <w:rPr>
          <w:rStyle w:val="FootnoteReference"/>
          <w:rFonts w:cstheme="minorHAnsi"/>
          <w:lang w:val="en-GB"/>
        </w:rPr>
        <w:footnoteReference w:id="1"/>
      </w:r>
      <w:r w:rsidRPr="00AD7EBC">
        <w:rPr>
          <w:lang w:val="en-GB"/>
        </w:rPr>
        <w:t>. The DRC ranks 177 out of 188 on the Human Development Index which is indicative of high poverty levels, poor access to healthcare and low access to quality education. Conflict and political strife have seen GNI per capita fall by about 46% between 1990 and 2015.</w:t>
      </w:r>
      <w:r w:rsidRPr="00AD7EBC">
        <w:rPr>
          <w:rStyle w:val="FootnoteReference"/>
          <w:lang w:val="en-GB"/>
        </w:rPr>
        <w:footnoteReference w:id="2"/>
      </w:r>
    </w:p>
    <w:p w14:paraId="1F91CFDC" w14:textId="77777777" w:rsidR="00682B5E" w:rsidRPr="00AD7EBC" w:rsidRDefault="00682B5E" w:rsidP="00B80445">
      <w:pPr>
        <w:jc w:val="both"/>
        <w:rPr>
          <w:lang w:val="en-GB"/>
        </w:rPr>
      </w:pPr>
      <w:r w:rsidRPr="00AD7EBC">
        <w:rPr>
          <w:lang w:val="en-GB"/>
        </w:rPr>
        <w:t xml:space="preserve">A PESTLE analysis has been conducted and is included in Annex 5. This outlines the multivariate barriers to education for girls’ in the DRC and highlights that the country is a Fragile and Conflict Affected State (FCAS), is ranked 144 out 148 in the global Gender Equality Index (GEI) and that investment in education have been cut by 30-40% due to the unstable socio-political environment. The Annex also includes an FCAS assessment by region and additional contextual considerations regarding gender inequality. </w:t>
      </w:r>
    </w:p>
    <w:p w14:paraId="438365EC" w14:textId="77777777" w:rsidR="00682B5E" w:rsidRPr="00AD7EBC" w:rsidRDefault="00682B5E" w:rsidP="005D6667">
      <w:pPr>
        <w:rPr>
          <w:lang w:val="en-GB"/>
        </w:rPr>
      </w:pPr>
    </w:p>
    <w:p w14:paraId="0321DC0F" w14:textId="77777777" w:rsidR="005D6667" w:rsidRPr="00AD7EBC" w:rsidRDefault="005D6667" w:rsidP="00B80445">
      <w:pPr>
        <w:jc w:val="both"/>
        <w:rPr>
          <w:lang w:val="en-GB"/>
        </w:rPr>
      </w:pPr>
      <w:r w:rsidRPr="00AD7EBC">
        <w:rPr>
          <w:lang w:val="en-GB"/>
        </w:rPr>
        <w:t>If girls are to learn the skills they need to succeed in life, they must participate in sustained, quality education. In the Democratic Republic of Congo (DRC), a girls’ first steps towards school are often undermined by families and communities who do not recognise the value of educating them; by high costs and low household incomes; and by an array of threats to their wellbeing, from child marriage to gender-based violence (GBV). Building on our experience of implementing Vas-y-fille (</w:t>
      </w:r>
      <w:proofErr w:type="spellStart"/>
      <w:r w:rsidRPr="00AD7EBC">
        <w:rPr>
          <w:lang w:val="en-GB"/>
        </w:rPr>
        <w:t>VyF</w:t>
      </w:r>
      <w:proofErr w:type="spellEnd"/>
      <w:r w:rsidRPr="00AD7EBC">
        <w:rPr>
          <w:lang w:val="en-GB"/>
        </w:rPr>
        <w:t xml:space="preserve">), we will support girls to realise their right to education through a suite of interrelated interventions that are evidence based and proven to work. </w:t>
      </w:r>
    </w:p>
    <w:p w14:paraId="4503CFB7" w14:textId="77777777" w:rsidR="005D6667" w:rsidRPr="00AD7EBC" w:rsidRDefault="005D6667" w:rsidP="005D6667">
      <w:pPr>
        <w:rPr>
          <w:lang w:val="en-GB"/>
        </w:rPr>
      </w:pPr>
    </w:p>
    <w:p w14:paraId="3E447607" w14:textId="77777777" w:rsidR="005D6667" w:rsidRPr="00AD7EBC" w:rsidRDefault="005D6667" w:rsidP="00B80445">
      <w:pPr>
        <w:jc w:val="both"/>
        <w:rPr>
          <w:lang w:val="en-GB"/>
        </w:rPr>
      </w:pPr>
      <w:r w:rsidRPr="00AD7EBC">
        <w:rPr>
          <w:lang w:val="en-GB"/>
        </w:rPr>
        <w:t xml:space="preserve">Girls in DRC experience multiple barriers to education including: </w:t>
      </w:r>
    </w:p>
    <w:p w14:paraId="6370AD27" w14:textId="77777777" w:rsidR="005D6667" w:rsidRPr="00AD7EBC" w:rsidRDefault="005D6667" w:rsidP="00B80445">
      <w:pPr>
        <w:pStyle w:val="ListParagraph"/>
        <w:widowControl/>
        <w:numPr>
          <w:ilvl w:val="0"/>
          <w:numId w:val="30"/>
        </w:numPr>
        <w:contextualSpacing/>
        <w:jc w:val="both"/>
        <w:rPr>
          <w:b/>
          <w:lang w:val="en-GB"/>
        </w:rPr>
      </w:pPr>
      <w:r w:rsidRPr="00AD7EBC">
        <w:rPr>
          <w:b/>
          <w:lang w:val="en-GB"/>
        </w:rPr>
        <w:t>Families do not always value girls’ education</w:t>
      </w:r>
    </w:p>
    <w:p w14:paraId="74AF9D5D" w14:textId="77777777" w:rsidR="005D6667" w:rsidRPr="00AD7EBC" w:rsidRDefault="005D6667" w:rsidP="00B80445">
      <w:pPr>
        <w:jc w:val="both"/>
        <w:rPr>
          <w:lang w:val="en-GB"/>
        </w:rPr>
      </w:pPr>
      <w:r w:rsidRPr="00AD7EBC">
        <w:rPr>
          <w:lang w:val="en-GB"/>
        </w:rPr>
        <w:t xml:space="preserve">Families often require girls to generate an income, to support with household chores, and to fulfil societal norms (like early marriage). The </w:t>
      </w:r>
      <w:proofErr w:type="spellStart"/>
      <w:r w:rsidRPr="00AD7EBC">
        <w:rPr>
          <w:lang w:val="en-GB"/>
        </w:rPr>
        <w:t>VyF</w:t>
      </w:r>
      <w:proofErr w:type="spellEnd"/>
      <w:r w:rsidRPr="00AD7EBC">
        <w:rPr>
          <w:lang w:val="en-GB"/>
        </w:rPr>
        <w:t xml:space="preserve"> endline found that most children work between 2 and 3 hours a day.</w:t>
      </w:r>
    </w:p>
    <w:p w14:paraId="1034DDB8" w14:textId="77777777" w:rsidR="005D6667" w:rsidRPr="00AD7EBC" w:rsidRDefault="005D6667" w:rsidP="00B80445">
      <w:pPr>
        <w:pStyle w:val="ListParagraph"/>
        <w:widowControl/>
        <w:numPr>
          <w:ilvl w:val="0"/>
          <w:numId w:val="30"/>
        </w:numPr>
        <w:contextualSpacing/>
        <w:jc w:val="both"/>
        <w:rPr>
          <w:b/>
          <w:lang w:val="en-GB"/>
        </w:rPr>
      </w:pPr>
      <w:r w:rsidRPr="00AD7EBC">
        <w:rPr>
          <w:b/>
          <w:lang w:val="en-GB"/>
        </w:rPr>
        <w:t>Household income is too low to send girls to school</w:t>
      </w:r>
    </w:p>
    <w:p w14:paraId="572A82BB" w14:textId="77777777" w:rsidR="005D6667" w:rsidRPr="00AD7EBC" w:rsidRDefault="005D6667" w:rsidP="00B80445">
      <w:pPr>
        <w:jc w:val="both"/>
        <w:rPr>
          <w:lang w:val="en-GB"/>
        </w:rPr>
      </w:pPr>
      <w:r w:rsidRPr="00AD7EBC">
        <w:rPr>
          <w:lang w:val="en-GB"/>
        </w:rPr>
        <w:t xml:space="preserve">In DRC over 63% of the population is considered to be below the national set poverty line. This percentage is even greater in rural areas that are often difficult to access, where many VYF schools are located. In addition, school fees can include a range of different items with up to 20 individual fees to be paid. </w:t>
      </w:r>
      <w:proofErr w:type="spellStart"/>
      <w:r w:rsidRPr="00AD7EBC">
        <w:rPr>
          <w:lang w:val="en-GB"/>
        </w:rPr>
        <w:t>Parent’s</w:t>
      </w:r>
      <w:proofErr w:type="spellEnd"/>
      <w:r w:rsidRPr="00AD7EBC">
        <w:rPr>
          <w:lang w:val="en-GB"/>
        </w:rPr>
        <w:t xml:space="preserve"> are often not aware of what an appropriate fee is and their rights and responsibilities to pay. If the fees are unaffordable, sending boys to school tends to take priority. </w:t>
      </w:r>
    </w:p>
    <w:p w14:paraId="14E62431" w14:textId="77777777" w:rsidR="005D6667" w:rsidRPr="00AD7EBC" w:rsidRDefault="005D6667" w:rsidP="00B80445">
      <w:pPr>
        <w:pStyle w:val="ListParagraph"/>
        <w:widowControl/>
        <w:numPr>
          <w:ilvl w:val="0"/>
          <w:numId w:val="30"/>
        </w:numPr>
        <w:contextualSpacing/>
        <w:jc w:val="both"/>
        <w:rPr>
          <w:b/>
          <w:lang w:val="en-GB"/>
        </w:rPr>
      </w:pPr>
      <w:r w:rsidRPr="00AD7EBC">
        <w:rPr>
          <w:b/>
          <w:lang w:val="en-GB"/>
        </w:rPr>
        <w:t>Conflict disrupts schooling</w:t>
      </w:r>
    </w:p>
    <w:p w14:paraId="5C0720A0" w14:textId="77777777" w:rsidR="005D6667" w:rsidRPr="00AD7EBC" w:rsidRDefault="005D6667" w:rsidP="00B80445">
      <w:pPr>
        <w:jc w:val="both"/>
        <w:rPr>
          <w:lang w:val="en-GB"/>
        </w:rPr>
      </w:pPr>
      <w:r w:rsidRPr="00AD7EBC">
        <w:rPr>
          <w:lang w:val="en-GB"/>
        </w:rPr>
        <w:t>Conflict has a devastating impact on girls and their education. These range from affecting school structures and the school calendar to psychosocial trauma, loss of family member and displacement. Girls in particular drop out of school and are exposed to exploitative labour and recruitment by armed groups.</w:t>
      </w:r>
    </w:p>
    <w:p w14:paraId="187B7624" w14:textId="77777777" w:rsidR="005D6667" w:rsidRPr="00AD7EBC" w:rsidRDefault="005D6667" w:rsidP="00B80445">
      <w:pPr>
        <w:pStyle w:val="ListParagraph"/>
        <w:widowControl/>
        <w:numPr>
          <w:ilvl w:val="0"/>
          <w:numId w:val="30"/>
        </w:numPr>
        <w:contextualSpacing/>
        <w:jc w:val="both"/>
        <w:rPr>
          <w:b/>
          <w:lang w:val="en-GB"/>
        </w:rPr>
      </w:pPr>
      <w:r w:rsidRPr="00AD7EBC">
        <w:rPr>
          <w:b/>
          <w:lang w:val="en-GB"/>
        </w:rPr>
        <w:t>Low level of teacher experience or exposure to effective teaching pedagogies</w:t>
      </w:r>
    </w:p>
    <w:p w14:paraId="536FF8A7" w14:textId="77777777" w:rsidR="005D6667" w:rsidRPr="00AD7EBC" w:rsidRDefault="005D6667" w:rsidP="00B80445">
      <w:pPr>
        <w:jc w:val="both"/>
        <w:rPr>
          <w:lang w:val="en-GB"/>
        </w:rPr>
      </w:pPr>
      <w:r w:rsidRPr="00AD7EBC">
        <w:rPr>
          <w:lang w:val="en-GB"/>
        </w:rPr>
        <w:t xml:space="preserve">The </w:t>
      </w:r>
      <w:proofErr w:type="spellStart"/>
      <w:r w:rsidRPr="00AD7EBC">
        <w:rPr>
          <w:lang w:val="en-GB"/>
        </w:rPr>
        <w:t>VyF</w:t>
      </w:r>
      <w:proofErr w:type="spellEnd"/>
      <w:r w:rsidRPr="00AD7EBC">
        <w:rPr>
          <w:lang w:val="en-GB"/>
        </w:rPr>
        <w:t xml:space="preserve"> endline noted serious gaps in teachers’ knowledge and skills - with some teachers barely able to read and write. Competency gaps were a particular difficulty when teaching children whose mother tongue differed from the language of instruction. The endline noted the success of teacher </w:t>
      </w:r>
      <w:proofErr w:type="gramStart"/>
      <w:r w:rsidRPr="00AD7EBC">
        <w:rPr>
          <w:lang w:val="en-GB"/>
        </w:rPr>
        <w:t>training, and</w:t>
      </w:r>
      <w:proofErr w:type="gramEnd"/>
      <w:r w:rsidRPr="00AD7EBC">
        <w:rPr>
          <w:lang w:val="en-GB"/>
        </w:rPr>
        <w:t xml:space="preserve"> recommended an increased focus on this.</w:t>
      </w:r>
    </w:p>
    <w:p w14:paraId="4DD6C654" w14:textId="77777777" w:rsidR="00682B5E" w:rsidRPr="00AD7EBC" w:rsidRDefault="00682B5E" w:rsidP="005D6667">
      <w:pPr>
        <w:rPr>
          <w:lang w:val="en-GB"/>
        </w:rPr>
      </w:pPr>
    </w:p>
    <w:p w14:paraId="2E26C59B" w14:textId="77777777" w:rsidR="00682B5E" w:rsidRPr="00AD7EBC" w:rsidRDefault="00682B5E" w:rsidP="005D6667">
      <w:pPr>
        <w:rPr>
          <w:lang w:val="en-GB"/>
        </w:rPr>
      </w:pPr>
    </w:p>
    <w:p w14:paraId="5BBAFE70" w14:textId="77777777" w:rsidR="00682B5E" w:rsidRPr="00AD7EBC" w:rsidRDefault="00682B5E" w:rsidP="00B80445">
      <w:pPr>
        <w:tabs>
          <w:tab w:val="left" w:pos="2205"/>
        </w:tabs>
        <w:jc w:val="both"/>
        <w:rPr>
          <w:lang w:val="en-GB"/>
        </w:rPr>
      </w:pPr>
      <w:r w:rsidRPr="00AD7EBC">
        <w:rPr>
          <w:b/>
          <w:lang w:val="en-GB"/>
        </w:rPr>
        <w:lastRenderedPageBreak/>
        <w:t xml:space="preserve">Theory of Change: </w:t>
      </w:r>
      <w:r w:rsidRPr="00AD7EBC">
        <w:rPr>
          <w:lang w:val="en-GB"/>
        </w:rPr>
        <w:t xml:space="preserve">To address these barriers to girls’ education, the project’s Theory of Change (TOC) will allow girls to access formal or accelerated education at Grade 4 level and transition through school to further education or secondary school at Grade 7 level. </w:t>
      </w:r>
    </w:p>
    <w:p w14:paraId="2FBFE7EE" w14:textId="77777777" w:rsidR="00682B5E" w:rsidRPr="00AD7EBC" w:rsidRDefault="00682B5E" w:rsidP="00B80445">
      <w:pPr>
        <w:jc w:val="both"/>
        <w:rPr>
          <w:lang w:val="en-GB"/>
        </w:rPr>
      </w:pPr>
      <w:r w:rsidRPr="00AD7EBC">
        <w:rPr>
          <w:lang w:val="en-GB"/>
        </w:rPr>
        <w:t xml:space="preserve">To address the issue of high school costs and low family income we will provide financial support to Accelerated Education Programme (AEP) centres, facilitating savings groups, and providing bursaries to girls. Hidden costs of schooling will be addressed through provision of supplies to primary schools and covering some AEP centre costs. </w:t>
      </w:r>
    </w:p>
    <w:p w14:paraId="703155BF" w14:textId="77777777" w:rsidR="00682B5E" w:rsidRPr="00AD7EBC" w:rsidRDefault="00682B5E" w:rsidP="00B80445">
      <w:pPr>
        <w:jc w:val="both"/>
        <w:rPr>
          <w:lang w:val="en-GB"/>
        </w:rPr>
      </w:pPr>
      <w:r w:rsidRPr="00AD7EBC">
        <w:rPr>
          <w:lang w:val="en-GB"/>
        </w:rPr>
        <w:t xml:space="preserve">To enhance teacher experience, we will invest in TPD approaches, Literacy and Numeracy teaching methodologies, and Accelerated Learning methodologies.  </w:t>
      </w:r>
    </w:p>
    <w:p w14:paraId="2FB37ABF" w14:textId="77777777" w:rsidR="00682B5E" w:rsidRPr="00AD7EBC" w:rsidRDefault="00682B5E" w:rsidP="00B80445">
      <w:pPr>
        <w:jc w:val="both"/>
        <w:rPr>
          <w:lang w:val="en-GB"/>
        </w:rPr>
      </w:pPr>
      <w:r w:rsidRPr="00AD7EBC">
        <w:rPr>
          <w:lang w:val="en-GB"/>
        </w:rPr>
        <w:t xml:space="preserve">To overcome the restraining factor of families and communities not prioritising girls’ education we will implement our world class approaches including Choices and Promises and CVA to help raise awareness and understanding of the value of girls’ education. </w:t>
      </w:r>
    </w:p>
    <w:p w14:paraId="1378BCB1" w14:textId="77777777" w:rsidR="00682B5E" w:rsidRPr="00AD7EBC" w:rsidRDefault="00682B5E" w:rsidP="00B80445">
      <w:pPr>
        <w:jc w:val="both"/>
        <w:rPr>
          <w:lang w:val="en-GB"/>
        </w:rPr>
      </w:pPr>
      <w:r w:rsidRPr="00AD7EBC">
        <w:rPr>
          <w:lang w:val="en-GB"/>
        </w:rPr>
        <w:t>To support child protection and child wellbeing we will be implementing a child protection and child safeguarding package of activities and implementing Sexual and Reproductive Health (SRH).</w:t>
      </w:r>
    </w:p>
    <w:p w14:paraId="19EB9AD6" w14:textId="77777777" w:rsidR="00682B5E" w:rsidRPr="00AD7EBC" w:rsidRDefault="00682B5E" w:rsidP="00B80445">
      <w:pPr>
        <w:jc w:val="both"/>
        <w:rPr>
          <w:lang w:val="en-GB"/>
        </w:rPr>
      </w:pPr>
      <w:r w:rsidRPr="00AD7EBC">
        <w:rPr>
          <w:lang w:val="en-GB"/>
        </w:rPr>
        <w:t xml:space="preserve">To mitigate conflict as a potential disrupter to schooling we will be implementing activities focused on conflict sensitive education. </w:t>
      </w:r>
    </w:p>
    <w:p w14:paraId="7E9FB09F" w14:textId="77777777" w:rsidR="00682B5E" w:rsidRPr="00AD7EBC" w:rsidRDefault="00682B5E" w:rsidP="00B80445">
      <w:pPr>
        <w:jc w:val="both"/>
        <w:rPr>
          <w:lang w:val="en-GB"/>
        </w:rPr>
      </w:pPr>
      <w:r w:rsidRPr="00AD7EBC">
        <w:rPr>
          <w:lang w:val="en-GB"/>
        </w:rPr>
        <w:t>The Theory of Change proposes that by addresses these key barriers through the interrelated interventions above, marginalised girls can access their right to education.</w:t>
      </w:r>
    </w:p>
    <w:p w14:paraId="207785AE" w14:textId="77777777" w:rsidR="00682B5E" w:rsidRPr="00AD7EBC" w:rsidRDefault="00682B5E" w:rsidP="00B80445">
      <w:pPr>
        <w:jc w:val="both"/>
        <w:rPr>
          <w:lang w:val="en-GB"/>
        </w:rPr>
      </w:pPr>
    </w:p>
    <w:p w14:paraId="3627FAE8" w14:textId="77777777" w:rsidR="00C84F34" w:rsidRPr="00AD7EBC" w:rsidRDefault="00C84F34" w:rsidP="00C84F34">
      <w:pPr>
        <w:jc w:val="both"/>
        <w:rPr>
          <w:lang w:val="en-GB"/>
        </w:rPr>
      </w:pPr>
      <w:r w:rsidRPr="00AD7EBC">
        <w:rPr>
          <w:lang w:val="en-GB"/>
        </w:rPr>
        <w:t xml:space="preserve">REALISE will help girls to access primary and secondary school through a suite of interrelated interventions. These are evidence-based (many of them were present in Vas-y-fille), but that evidence was not necessarily developed in the provinces we are supporting here. A lack of quality data constrains our ability to base interventions on context-specific evidence. We will therefore use monitoring data from the project and focussed primary research to build a </w:t>
      </w:r>
      <w:r w:rsidRPr="00AD7EBC">
        <w:rPr>
          <w:color w:val="00B050"/>
          <w:lang w:val="en-GB"/>
        </w:rPr>
        <w:t>better evidence base</w:t>
      </w:r>
      <w:r w:rsidRPr="00AD7EBC">
        <w:rPr>
          <w:lang w:val="en-GB"/>
        </w:rPr>
        <w:t xml:space="preserve"> to allow us to constantly improve these interventions through the life of the project. This will include research into </w:t>
      </w:r>
      <w:r w:rsidRPr="00AD7EBC">
        <w:rPr>
          <w:color w:val="00B050"/>
          <w:lang w:val="en-GB"/>
        </w:rPr>
        <w:t>targeted drop-out interventions</w:t>
      </w:r>
      <w:r w:rsidRPr="00AD7EBC">
        <w:rPr>
          <w:lang w:val="en-GB"/>
        </w:rPr>
        <w:t xml:space="preserve"> and </w:t>
      </w:r>
      <w:r w:rsidRPr="00AD7EBC">
        <w:rPr>
          <w:color w:val="00B050"/>
          <w:lang w:val="en-GB"/>
        </w:rPr>
        <w:t>attendance tracking</w:t>
      </w:r>
      <w:r w:rsidRPr="00AD7EBC">
        <w:rPr>
          <w:lang w:val="en-GB"/>
        </w:rPr>
        <w:t xml:space="preserve">. </w:t>
      </w:r>
    </w:p>
    <w:p w14:paraId="36D175BE" w14:textId="46368E5D" w:rsidR="00C84F34" w:rsidRPr="00AD7EBC" w:rsidRDefault="00C84F34" w:rsidP="00C84F34">
      <w:pPr>
        <w:jc w:val="both"/>
        <w:rPr>
          <w:lang w:val="en-GB"/>
        </w:rPr>
      </w:pPr>
      <w:r w:rsidRPr="00AD7EBC">
        <w:rPr>
          <w:lang w:val="en-GB"/>
        </w:rPr>
        <w:t xml:space="preserve">Through </w:t>
      </w:r>
      <w:r w:rsidRPr="00AD7EBC">
        <w:rPr>
          <w:color w:val="00B050"/>
          <w:lang w:val="en-GB"/>
        </w:rPr>
        <w:t xml:space="preserve">Promises </w:t>
      </w:r>
      <w:r w:rsidRPr="00AD7EBC">
        <w:rPr>
          <w:lang w:val="en-GB"/>
        </w:rPr>
        <w:t xml:space="preserve">and </w:t>
      </w:r>
      <w:r w:rsidRPr="00AD7EBC">
        <w:rPr>
          <w:color w:val="00B050"/>
          <w:lang w:val="en-GB"/>
        </w:rPr>
        <w:t>Citizen Voice and Action</w:t>
      </w:r>
      <w:r w:rsidRPr="00AD7EBC">
        <w:rPr>
          <w:lang w:val="en-GB"/>
        </w:rPr>
        <w:t>, families will learn how their g</w:t>
      </w:r>
      <w:r w:rsidR="007825A7">
        <w:rPr>
          <w:lang w:val="en-GB"/>
        </w:rPr>
        <w:t>irls will benefit from education</w:t>
      </w:r>
      <w:r w:rsidRPr="00AD7EBC">
        <w:rPr>
          <w:lang w:val="en-GB"/>
        </w:rPr>
        <w:t xml:space="preserve"> and are given the advocacy tools to that will see institutions supporting them. Extrinsic motivators - such as bursaries - are replaced through Promises with intrinsic motivators (belief that education will lead to increased wellbeing for girls and their families). Families’ behaviours change with their attitudes: they push schools to decrease fees and Provincial government to provide more financial support. At the same time, </w:t>
      </w:r>
      <w:r w:rsidRPr="00AD7EBC">
        <w:rPr>
          <w:color w:val="00B050"/>
          <w:lang w:val="en-GB"/>
        </w:rPr>
        <w:t xml:space="preserve">savings groups </w:t>
      </w:r>
      <w:r w:rsidRPr="00AD7EBC">
        <w:rPr>
          <w:lang w:val="en-GB"/>
        </w:rPr>
        <w:t xml:space="preserve">and </w:t>
      </w:r>
      <w:r w:rsidRPr="00AD7EBC">
        <w:rPr>
          <w:color w:val="00B050"/>
          <w:lang w:val="en-GB"/>
        </w:rPr>
        <w:t xml:space="preserve">bursaries </w:t>
      </w:r>
      <w:r w:rsidRPr="00AD7EBC">
        <w:rPr>
          <w:lang w:val="en-GB"/>
        </w:rPr>
        <w:t xml:space="preserve">increase families’ financial capacity to provide for their girls’ education. </w:t>
      </w:r>
    </w:p>
    <w:p w14:paraId="1C9EBD3D" w14:textId="77777777" w:rsidR="00C84F34" w:rsidRPr="00AD7EBC" w:rsidRDefault="00C84F34" w:rsidP="00C84F34">
      <w:pPr>
        <w:jc w:val="both"/>
        <w:rPr>
          <w:lang w:val="en-GB"/>
        </w:rPr>
      </w:pPr>
      <w:r w:rsidRPr="00AD7EBC">
        <w:rPr>
          <w:lang w:val="en-GB"/>
        </w:rPr>
        <w:t xml:space="preserve">The majority of girls we support will be young enough to access primary school; older girls will be able to follow an Accelerated Education route. In both cases, the costs of education remain a restraining factor: classrooms may have few textbooks and lessons may be taken by under-trained and demotivated teachers. Girls’ time spent in school and their wellbeing whilst at school could likely be cut short by social challenges including the widespread conflict that affects the country. We will help </w:t>
      </w:r>
      <w:r w:rsidRPr="00AD7EBC">
        <w:rPr>
          <w:color w:val="00B050"/>
          <w:lang w:val="en-GB"/>
        </w:rPr>
        <w:t xml:space="preserve">resource </w:t>
      </w:r>
      <w:r w:rsidRPr="00AD7EBC">
        <w:rPr>
          <w:lang w:val="en-GB"/>
        </w:rPr>
        <w:t xml:space="preserve">the classrooms we are working in; we will build teachers’ competencies and motivation through </w:t>
      </w:r>
      <w:r w:rsidRPr="00AD7EBC">
        <w:rPr>
          <w:color w:val="00B050"/>
          <w:lang w:val="en-GB"/>
        </w:rPr>
        <w:t>quality professional development</w:t>
      </w:r>
      <w:r w:rsidRPr="00AD7EBC">
        <w:rPr>
          <w:lang w:val="en-GB"/>
        </w:rPr>
        <w:t xml:space="preserve">; and we will help schools protect girls by </w:t>
      </w:r>
      <w:r w:rsidRPr="00AD7EBC">
        <w:rPr>
          <w:color w:val="00B050"/>
          <w:lang w:val="en-GB"/>
        </w:rPr>
        <w:t>preparing for conflict</w:t>
      </w:r>
      <w:r w:rsidRPr="00AD7EBC">
        <w:rPr>
          <w:lang w:val="en-GB"/>
        </w:rPr>
        <w:t xml:space="preserve">, helping with </w:t>
      </w:r>
      <w:r w:rsidRPr="00AD7EBC">
        <w:rPr>
          <w:color w:val="00B050"/>
          <w:lang w:val="en-GB"/>
        </w:rPr>
        <w:t>education at times of displacement</w:t>
      </w:r>
      <w:r w:rsidRPr="00AD7EBC">
        <w:rPr>
          <w:lang w:val="en-GB"/>
        </w:rPr>
        <w:t xml:space="preserve">, and providing </w:t>
      </w:r>
      <w:r w:rsidRPr="00AD7EBC">
        <w:rPr>
          <w:color w:val="00B050"/>
          <w:lang w:val="en-GB"/>
        </w:rPr>
        <w:t xml:space="preserve">psychosocial support </w:t>
      </w:r>
      <w:r w:rsidRPr="00AD7EBC">
        <w:rPr>
          <w:lang w:val="en-GB"/>
        </w:rPr>
        <w:t xml:space="preserve">to learners and teachers dealing with the after-effects. Through this resilient, better-resourced foundation, specific </w:t>
      </w:r>
      <w:r w:rsidRPr="00AD7EBC">
        <w:rPr>
          <w:color w:val="00B050"/>
          <w:lang w:val="en-GB"/>
        </w:rPr>
        <w:t>literacy and numeracy interventions</w:t>
      </w:r>
      <w:r w:rsidRPr="00AD7EBC">
        <w:rPr>
          <w:lang w:val="en-GB"/>
        </w:rPr>
        <w:t xml:space="preserve"> will help girls to develop the fundamental competencies at the heart of the GEC project. From here, girls will be in a strong position to pass their primary school-lever exams. </w:t>
      </w:r>
    </w:p>
    <w:p w14:paraId="10CE7E04" w14:textId="77777777" w:rsidR="00C84F34" w:rsidRPr="00AD7EBC" w:rsidRDefault="00C84F34" w:rsidP="00C84F34">
      <w:pPr>
        <w:rPr>
          <w:lang w:val="en-GB"/>
        </w:rPr>
      </w:pPr>
      <w:r w:rsidRPr="00AD7EBC">
        <w:rPr>
          <w:lang w:val="en-GB"/>
        </w:rPr>
        <w:t xml:space="preserve">Girls are most at risk of dropping out of education as they transition from primary or Accelerated Education to secondary education. The restraining factors identified above repeat and compound at this stage as girls are expected to marry and are more at risk of SGBV and recruitment by armed groups. </w:t>
      </w:r>
      <w:r w:rsidRPr="00AD7EBC">
        <w:rPr>
          <w:color w:val="00B050"/>
          <w:lang w:val="en-GB"/>
        </w:rPr>
        <w:t xml:space="preserve">All our enabling interventions </w:t>
      </w:r>
      <w:r w:rsidRPr="00AD7EBC">
        <w:rPr>
          <w:lang w:val="en-GB"/>
        </w:rPr>
        <w:t xml:space="preserve">will come into play to help girls overcome these challenges, to help them transition to secondary education; receive financial </w:t>
      </w:r>
      <w:r w:rsidRPr="00AD7EBC">
        <w:rPr>
          <w:lang w:val="en-GB"/>
        </w:rPr>
        <w:lastRenderedPageBreak/>
        <w:t>support to stay in school; and benefit from better-quality education. We are theorising that, by particularly concentrating interventions between Grade 4 and 9, we will build girls’ resilience to the factors threatening their education and reduce the sharp rates of drop-out. We will continue to support the cohort of girls through their secondary education by working with their teachers to undertake professional development and by improving the quality of literacy and numeracy resources at these levels.</w:t>
      </w:r>
    </w:p>
    <w:p w14:paraId="25FE97D5" w14:textId="79A02631" w:rsidR="00BC0501" w:rsidRPr="00AD7EBC" w:rsidRDefault="00BC0501" w:rsidP="00A729A5">
      <w:pPr>
        <w:widowControl/>
        <w:tabs>
          <w:tab w:val="left" w:pos="2330"/>
          <w:tab w:val="left" w:pos="4837"/>
          <w:tab w:val="left" w:pos="6852"/>
        </w:tabs>
        <w:spacing w:after="200" w:line="276" w:lineRule="auto"/>
        <w:contextualSpacing/>
        <w:rPr>
          <w:b/>
          <w:sz w:val="20"/>
          <w:szCs w:val="20"/>
          <w:lang w:val="en-GB"/>
        </w:rPr>
      </w:pPr>
      <w:r w:rsidRPr="00AD7EBC">
        <w:rPr>
          <w:color w:val="2F5496" w:themeColor="accent1" w:themeShade="BF"/>
          <w:sz w:val="20"/>
          <w:szCs w:val="20"/>
          <w:lang w:val="en-GB"/>
        </w:rPr>
        <w:tab/>
      </w:r>
      <w:r w:rsidRPr="00AD7EBC">
        <w:rPr>
          <w:b/>
          <w:sz w:val="20"/>
          <w:szCs w:val="20"/>
          <w:lang w:val="en-GB"/>
        </w:rPr>
        <w:tab/>
      </w:r>
      <w:r w:rsidRPr="00AD7EBC">
        <w:rPr>
          <w:b/>
          <w:sz w:val="20"/>
          <w:szCs w:val="20"/>
          <w:lang w:val="en-GB"/>
        </w:rPr>
        <w:tab/>
      </w:r>
    </w:p>
    <w:tbl>
      <w:tblPr>
        <w:tblStyle w:val="TableGrid"/>
        <w:tblW w:w="0" w:type="auto"/>
        <w:tblInd w:w="142" w:type="dxa"/>
        <w:tblLook w:val="04A0" w:firstRow="1" w:lastRow="0" w:firstColumn="1" w:lastColumn="0" w:noHBand="0" w:noVBand="1"/>
      </w:tblPr>
      <w:tblGrid>
        <w:gridCol w:w="2188"/>
        <w:gridCol w:w="2507"/>
        <w:gridCol w:w="2015"/>
        <w:gridCol w:w="2378"/>
      </w:tblGrid>
      <w:tr w:rsidR="003D0CCF" w:rsidRPr="003D0CCF" w14:paraId="45DD9C4E" w14:textId="77777777" w:rsidTr="003D0CCF">
        <w:trPr>
          <w:trHeight w:val="554"/>
        </w:trPr>
        <w:tc>
          <w:tcPr>
            <w:tcW w:w="2188" w:type="dxa"/>
            <w:tcBorders>
              <w:top w:val="single" w:sz="4" w:space="0" w:color="auto"/>
              <w:left w:val="single" w:sz="4" w:space="0" w:color="auto"/>
            </w:tcBorders>
            <w:shd w:val="clear" w:color="auto" w:fill="DEEAF6" w:themeFill="accent5" w:themeFillTint="33"/>
          </w:tcPr>
          <w:p w14:paraId="0A72139A" w14:textId="42B3AC37" w:rsidR="00F54E78" w:rsidRPr="003D0CCF" w:rsidRDefault="00F54E78" w:rsidP="00911690">
            <w:pPr>
              <w:widowControl/>
              <w:spacing w:after="200" w:line="276" w:lineRule="auto"/>
              <w:contextualSpacing/>
              <w:jc w:val="both"/>
              <w:rPr>
                <w:b/>
                <w:sz w:val="20"/>
                <w:szCs w:val="20"/>
                <w:lang w:val="en-GB"/>
              </w:rPr>
            </w:pPr>
            <w:r w:rsidRPr="003D0CCF">
              <w:rPr>
                <w:b/>
                <w:sz w:val="20"/>
                <w:szCs w:val="20"/>
                <w:lang w:val="en-GB"/>
              </w:rPr>
              <w:t>Direct beneficiaries</w:t>
            </w:r>
          </w:p>
        </w:tc>
        <w:tc>
          <w:tcPr>
            <w:tcW w:w="2507" w:type="dxa"/>
            <w:shd w:val="clear" w:color="auto" w:fill="DEEAF6" w:themeFill="accent5" w:themeFillTint="33"/>
          </w:tcPr>
          <w:p w14:paraId="55669EE9" w14:textId="487B3F4B" w:rsidR="00F54E78" w:rsidRPr="003D0CCF" w:rsidRDefault="00F54E78" w:rsidP="00911690">
            <w:pPr>
              <w:widowControl/>
              <w:spacing w:after="200" w:line="276" w:lineRule="auto"/>
              <w:contextualSpacing/>
              <w:jc w:val="center"/>
              <w:rPr>
                <w:b/>
                <w:sz w:val="20"/>
                <w:szCs w:val="20"/>
                <w:lang w:val="en-GB"/>
              </w:rPr>
            </w:pPr>
            <w:r w:rsidRPr="003D0CCF">
              <w:rPr>
                <w:b/>
                <w:sz w:val="20"/>
                <w:szCs w:val="20"/>
                <w:lang w:val="en-GB"/>
              </w:rPr>
              <w:t>Primary education</w:t>
            </w:r>
          </w:p>
        </w:tc>
        <w:tc>
          <w:tcPr>
            <w:tcW w:w="2015" w:type="dxa"/>
            <w:shd w:val="clear" w:color="auto" w:fill="DEEAF6" w:themeFill="accent5" w:themeFillTint="33"/>
          </w:tcPr>
          <w:p w14:paraId="46CD4534" w14:textId="67DB76F5" w:rsidR="00F54E78" w:rsidRPr="003D0CCF" w:rsidRDefault="00F54E78" w:rsidP="00F54E78">
            <w:pPr>
              <w:widowControl/>
              <w:spacing w:after="200" w:line="276" w:lineRule="auto"/>
              <w:contextualSpacing/>
              <w:jc w:val="center"/>
              <w:rPr>
                <w:b/>
                <w:sz w:val="20"/>
                <w:szCs w:val="20"/>
                <w:lang w:val="en-GB"/>
              </w:rPr>
            </w:pPr>
            <w:r w:rsidRPr="003D0CCF">
              <w:rPr>
                <w:b/>
                <w:sz w:val="20"/>
                <w:szCs w:val="20"/>
                <w:lang w:val="en-GB"/>
              </w:rPr>
              <w:t>AEP centres</w:t>
            </w:r>
          </w:p>
        </w:tc>
        <w:tc>
          <w:tcPr>
            <w:tcW w:w="2378" w:type="dxa"/>
            <w:shd w:val="clear" w:color="auto" w:fill="DEEAF6" w:themeFill="accent5" w:themeFillTint="33"/>
          </w:tcPr>
          <w:p w14:paraId="5CEB31AD" w14:textId="22BCF9F1" w:rsidR="00F54E78" w:rsidRPr="003D0CCF" w:rsidRDefault="00F54E78" w:rsidP="00911690">
            <w:pPr>
              <w:widowControl/>
              <w:spacing w:after="200" w:line="276" w:lineRule="auto"/>
              <w:contextualSpacing/>
              <w:jc w:val="center"/>
              <w:rPr>
                <w:b/>
                <w:sz w:val="20"/>
                <w:szCs w:val="20"/>
                <w:lang w:val="en-GB"/>
              </w:rPr>
            </w:pPr>
            <w:r w:rsidRPr="003D0CCF">
              <w:rPr>
                <w:b/>
                <w:sz w:val="20"/>
                <w:szCs w:val="20"/>
                <w:lang w:val="en-GB"/>
              </w:rPr>
              <w:t>Secondary education</w:t>
            </w:r>
          </w:p>
        </w:tc>
      </w:tr>
      <w:tr w:rsidR="00F54E78" w:rsidRPr="00AD7EBC" w14:paraId="18E670E6" w14:textId="77777777" w:rsidTr="00BC0501">
        <w:trPr>
          <w:trHeight w:val="290"/>
        </w:trPr>
        <w:tc>
          <w:tcPr>
            <w:tcW w:w="2188" w:type="dxa"/>
          </w:tcPr>
          <w:p w14:paraId="61C229BC" w14:textId="5F96432C" w:rsidR="00F54E78" w:rsidRPr="00AD7EBC" w:rsidRDefault="00F54E78" w:rsidP="00911690">
            <w:pPr>
              <w:widowControl/>
              <w:spacing w:after="200" w:line="276" w:lineRule="auto"/>
              <w:contextualSpacing/>
              <w:jc w:val="both"/>
              <w:rPr>
                <w:sz w:val="20"/>
                <w:szCs w:val="20"/>
                <w:lang w:val="en-GB"/>
              </w:rPr>
            </w:pPr>
          </w:p>
        </w:tc>
        <w:tc>
          <w:tcPr>
            <w:tcW w:w="2507" w:type="dxa"/>
          </w:tcPr>
          <w:p w14:paraId="70C8037C" w14:textId="7200EB1C" w:rsidR="00F54E78" w:rsidRPr="00AD7EBC" w:rsidRDefault="00F54E78" w:rsidP="00911690">
            <w:pPr>
              <w:widowControl/>
              <w:spacing w:after="200" w:line="276" w:lineRule="auto"/>
              <w:contextualSpacing/>
              <w:jc w:val="center"/>
              <w:rPr>
                <w:b/>
                <w:sz w:val="20"/>
                <w:szCs w:val="20"/>
                <w:lang w:val="en-GB"/>
              </w:rPr>
            </w:pPr>
            <w:r w:rsidRPr="00AD7EBC">
              <w:rPr>
                <w:b/>
                <w:sz w:val="20"/>
                <w:szCs w:val="20"/>
                <w:lang w:val="en-GB"/>
              </w:rPr>
              <w:t># girls</w:t>
            </w:r>
          </w:p>
        </w:tc>
        <w:tc>
          <w:tcPr>
            <w:tcW w:w="2015" w:type="dxa"/>
          </w:tcPr>
          <w:p w14:paraId="13573C22" w14:textId="72DEDDB5" w:rsidR="00F54E78" w:rsidRPr="00AD7EBC" w:rsidRDefault="00F54E78" w:rsidP="00911690">
            <w:pPr>
              <w:widowControl/>
              <w:spacing w:after="200" w:line="276" w:lineRule="auto"/>
              <w:contextualSpacing/>
              <w:jc w:val="center"/>
              <w:rPr>
                <w:b/>
                <w:sz w:val="20"/>
                <w:szCs w:val="20"/>
                <w:lang w:val="en-GB"/>
              </w:rPr>
            </w:pPr>
            <w:r w:rsidRPr="00AD7EBC">
              <w:rPr>
                <w:b/>
                <w:sz w:val="20"/>
                <w:szCs w:val="20"/>
                <w:lang w:val="en-GB"/>
              </w:rPr>
              <w:t xml:space="preserve"># girls </w:t>
            </w:r>
            <w:r w:rsidR="00321CD1">
              <w:rPr>
                <w:b/>
                <w:sz w:val="20"/>
                <w:szCs w:val="20"/>
                <w:lang w:val="en-GB"/>
              </w:rPr>
              <w:t xml:space="preserve">&amp; </w:t>
            </w:r>
            <w:r w:rsidRPr="00AD7EBC">
              <w:rPr>
                <w:b/>
                <w:sz w:val="20"/>
                <w:szCs w:val="20"/>
                <w:lang w:val="en-GB"/>
              </w:rPr>
              <w:t>boys</w:t>
            </w:r>
          </w:p>
        </w:tc>
        <w:tc>
          <w:tcPr>
            <w:tcW w:w="2378" w:type="dxa"/>
          </w:tcPr>
          <w:p w14:paraId="443AA55B" w14:textId="465A5AB9" w:rsidR="00F54E78" w:rsidRPr="00AD7EBC" w:rsidRDefault="00F54E78" w:rsidP="00911690">
            <w:pPr>
              <w:widowControl/>
              <w:spacing w:after="200" w:line="276" w:lineRule="auto"/>
              <w:contextualSpacing/>
              <w:jc w:val="center"/>
              <w:rPr>
                <w:b/>
                <w:sz w:val="20"/>
                <w:szCs w:val="20"/>
                <w:lang w:val="en-GB"/>
              </w:rPr>
            </w:pPr>
            <w:r w:rsidRPr="00AD7EBC">
              <w:rPr>
                <w:b/>
                <w:sz w:val="20"/>
                <w:szCs w:val="20"/>
                <w:lang w:val="en-GB"/>
              </w:rPr>
              <w:t># girls</w:t>
            </w:r>
          </w:p>
        </w:tc>
      </w:tr>
      <w:tr w:rsidR="00F54E78" w:rsidRPr="00AD7EBC" w14:paraId="0BB30F32" w14:textId="77777777" w:rsidTr="00BC0501">
        <w:trPr>
          <w:trHeight w:val="276"/>
        </w:trPr>
        <w:tc>
          <w:tcPr>
            <w:tcW w:w="2188" w:type="dxa"/>
          </w:tcPr>
          <w:p w14:paraId="397E3016" w14:textId="040A1F18" w:rsidR="00F54E78" w:rsidRPr="00AD7EBC" w:rsidRDefault="00F54E78" w:rsidP="00911690">
            <w:pPr>
              <w:widowControl/>
              <w:spacing w:after="200" w:line="276" w:lineRule="auto"/>
              <w:contextualSpacing/>
              <w:jc w:val="both"/>
              <w:rPr>
                <w:sz w:val="20"/>
                <w:szCs w:val="20"/>
                <w:lang w:val="en-GB"/>
              </w:rPr>
            </w:pPr>
            <w:r w:rsidRPr="00AD7EBC">
              <w:rPr>
                <w:sz w:val="20"/>
                <w:szCs w:val="20"/>
                <w:lang w:val="en-GB"/>
              </w:rPr>
              <w:t>Kasai Oriental</w:t>
            </w:r>
          </w:p>
        </w:tc>
        <w:tc>
          <w:tcPr>
            <w:tcW w:w="2507" w:type="dxa"/>
          </w:tcPr>
          <w:p w14:paraId="39079934" w14:textId="2E216A14" w:rsidR="00F54E78" w:rsidRPr="00AD7EBC" w:rsidRDefault="00125F56" w:rsidP="00911690">
            <w:pPr>
              <w:widowControl/>
              <w:spacing w:after="200" w:line="276" w:lineRule="auto"/>
              <w:contextualSpacing/>
              <w:jc w:val="center"/>
              <w:rPr>
                <w:sz w:val="20"/>
                <w:szCs w:val="20"/>
                <w:lang w:val="en-GB"/>
              </w:rPr>
            </w:pPr>
            <w:r w:rsidRPr="00AD7EBC">
              <w:rPr>
                <w:sz w:val="20"/>
                <w:szCs w:val="20"/>
                <w:lang w:val="en-GB"/>
              </w:rPr>
              <w:t>To be confirmed post initial assessment</w:t>
            </w:r>
          </w:p>
        </w:tc>
        <w:tc>
          <w:tcPr>
            <w:tcW w:w="2015" w:type="dxa"/>
          </w:tcPr>
          <w:p w14:paraId="3A1764A9" w14:textId="0779DE1A" w:rsidR="00F54E78" w:rsidRPr="00AD7EBC" w:rsidRDefault="00125F56" w:rsidP="00911690">
            <w:pPr>
              <w:widowControl/>
              <w:spacing w:after="200" w:line="276" w:lineRule="auto"/>
              <w:contextualSpacing/>
              <w:jc w:val="center"/>
              <w:rPr>
                <w:sz w:val="20"/>
                <w:szCs w:val="20"/>
                <w:lang w:val="en-GB"/>
              </w:rPr>
            </w:pPr>
            <w:r w:rsidRPr="00AD7EBC">
              <w:rPr>
                <w:sz w:val="20"/>
                <w:szCs w:val="20"/>
                <w:lang w:val="en-GB"/>
              </w:rPr>
              <w:t>To be confirmed post initial assessment</w:t>
            </w:r>
          </w:p>
        </w:tc>
        <w:tc>
          <w:tcPr>
            <w:tcW w:w="2378" w:type="dxa"/>
          </w:tcPr>
          <w:p w14:paraId="738D383A" w14:textId="69A6561F" w:rsidR="00F54E78" w:rsidRPr="00AD7EBC" w:rsidRDefault="00125F56" w:rsidP="00911690">
            <w:pPr>
              <w:widowControl/>
              <w:spacing w:after="200" w:line="276" w:lineRule="auto"/>
              <w:contextualSpacing/>
              <w:jc w:val="center"/>
              <w:rPr>
                <w:sz w:val="20"/>
                <w:szCs w:val="20"/>
                <w:lang w:val="en-GB"/>
              </w:rPr>
            </w:pPr>
            <w:r w:rsidRPr="00AD7EBC">
              <w:rPr>
                <w:sz w:val="20"/>
                <w:szCs w:val="20"/>
                <w:lang w:val="en-GB"/>
              </w:rPr>
              <w:t>To be confirmed post initial assessment</w:t>
            </w:r>
          </w:p>
        </w:tc>
      </w:tr>
      <w:tr w:rsidR="00F54E78" w:rsidRPr="00AD7EBC" w14:paraId="01DC1AF1" w14:textId="77777777" w:rsidTr="00BC0501">
        <w:trPr>
          <w:trHeight w:val="290"/>
        </w:trPr>
        <w:tc>
          <w:tcPr>
            <w:tcW w:w="2188" w:type="dxa"/>
          </w:tcPr>
          <w:p w14:paraId="0439EFF1" w14:textId="2C0954D1" w:rsidR="00F54E78" w:rsidRPr="00AD7EBC" w:rsidRDefault="00F54E78" w:rsidP="00911690">
            <w:pPr>
              <w:widowControl/>
              <w:spacing w:after="200" w:line="276" w:lineRule="auto"/>
              <w:contextualSpacing/>
              <w:jc w:val="both"/>
              <w:rPr>
                <w:sz w:val="20"/>
                <w:szCs w:val="20"/>
                <w:lang w:val="en-GB"/>
              </w:rPr>
            </w:pPr>
            <w:proofErr w:type="spellStart"/>
            <w:r w:rsidRPr="00AD7EBC">
              <w:rPr>
                <w:sz w:val="20"/>
                <w:szCs w:val="20"/>
                <w:lang w:val="en-GB"/>
              </w:rPr>
              <w:t>Ituri</w:t>
            </w:r>
            <w:proofErr w:type="spellEnd"/>
          </w:p>
        </w:tc>
        <w:tc>
          <w:tcPr>
            <w:tcW w:w="2507" w:type="dxa"/>
          </w:tcPr>
          <w:p w14:paraId="3DB6ADEB" w14:textId="5F76E382" w:rsidR="00F54E78" w:rsidRPr="00AD7EBC" w:rsidRDefault="00125F56" w:rsidP="00911690">
            <w:pPr>
              <w:widowControl/>
              <w:spacing w:after="200" w:line="276" w:lineRule="auto"/>
              <w:contextualSpacing/>
              <w:jc w:val="center"/>
              <w:rPr>
                <w:sz w:val="20"/>
                <w:szCs w:val="20"/>
                <w:lang w:val="en-GB"/>
              </w:rPr>
            </w:pPr>
            <w:r w:rsidRPr="00AD7EBC">
              <w:rPr>
                <w:sz w:val="20"/>
                <w:szCs w:val="20"/>
                <w:lang w:val="en-GB"/>
              </w:rPr>
              <w:t>To be confirmed post initial assessment</w:t>
            </w:r>
          </w:p>
        </w:tc>
        <w:tc>
          <w:tcPr>
            <w:tcW w:w="2015" w:type="dxa"/>
          </w:tcPr>
          <w:p w14:paraId="62CD5666" w14:textId="694A33AE" w:rsidR="00F54E78" w:rsidRPr="00AD7EBC" w:rsidRDefault="00125F56" w:rsidP="00911690">
            <w:pPr>
              <w:widowControl/>
              <w:spacing w:after="200" w:line="276" w:lineRule="auto"/>
              <w:contextualSpacing/>
              <w:jc w:val="center"/>
              <w:rPr>
                <w:sz w:val="20"/>
                <w:szCs w:val="20"/>
                <w:lang w:val="en-GB"/>
              </w:rPr>
            </w:pPr>
            <w:r w:rsidRPr="00AD7EBC">
              <w:rPr>
                <w:sz w:val="20"/>
                <w:szCs w:val="20"/>
                <w:lang w:val="en-GB"/>
              </w:rPr>
              <w:t>To be confirmed post initial assessment</w:t>
            </w:r>
          </w:p>
        </w:tc>
        <w:tc>
          <w:tcPr>
            <w:tcW w:w="2378" w:type="dxa"/>
          </w:tcPr>
          <w:p w14:paraId="243AE125" w14:textId="2D42D84D" w:rsidR="00F54E78" w:rsidRPr="00AD7EBC" w:rsidRDefault="00125F56" w:rsidP="00911690">
            <w:pPr>
              <w:widowControl/>
              <w:spacing w:after="200" w:line="276" w:lineRule="auto"/>
              <w:contextualSpacing/>
              <w:jc w:val="center"/>
              <w:rPr>
                <w:sz w:val="20"/>
                <w:szCs w:val="20"/>
                <w:lang w:val="en-GB"/>
              </w:rPr>
            </w:pPr>
            <w:r w:rsidRPr="00AD7EBC">
              <w:rPr>
                <w:sz w:val="20"/>
                <w:szCs w:val="20"/>
                <w:lang w:val="en-GB"/>
              </w:rPr>
              <w:t>To be confirmed post initial assessment</w:t>
            </w:r>
          </w:p>
        </w:tc>
      </w:tr>
      <w:tr w:rsidR="00F54E78" w:rsidRPr="00AD7EBC" w14:paraId="5B8FF143" w14:textId="77777777" w:rsidTr="00BC0501">
        <w:trPr>
          <w:trHeight w:val="290"/>
        </w:trPr>
        <w:tc>
          <w:tcPr>
            <w:tcW w:w="2188" w:type="dxa"/>
          </w:tcPr>
          <w:p w14:paraId="15BE1620" w14:textId="118B7B94" w:rsidR="00F54E78" w:rsidRPr="00AD7EBC" w:rsidRDefault="00F54E78" w:rsidP="00911690">
            <w:pPr>
              <w:widowControl/>
              <w:spacing w:after="200" w:line="276" w:lineRule="auto"/>
              <w:contextualSpacing/>
              <w:jc w:val="both"/>
              <w:rPr>
                <w:sz w:val="20"/>
                <w:szCs w:val="20"/>
                <w:lang w:val="en-GB"/>
              </w:rPr>
            </w:pPr>
            <w:r w:rsidRPr="00AD7EBC">
              <w:rPr>
                <w:sz w:val="20"/>
                <w:szCs w:val="20"/>
                <w:lang w:val="en-GB"/>
              </w:rPr>
              <w:t>Lomami</w:t>
            </w:r>
          </w:p>
        </w:tc>
        <w:tc>
          <w:tcPr>
            <w:tcW w:w="2507" w:type="dxa"/>
          </w:tcPr>
          <w:p w14:paraId="38638A24" w14:textId="6F02CD56" w:rsidR="00F54E78" w:rsidRPr="00AD7EBC" w:rsidRDefault="00125F56" w:rsidP="00911690">
            <w:pPr>
              <w:widowControl/>
              <w:spacing w:after="200" w:line="276" w:lineRule="auto"/>
              <w:contextualSpacing/>
              <w:jc w:val="center"/>
              <w:rPr>
                <w:sz w:val="20"/>
                <w:szCs w:val="20"/>
                <w:lang w:val="en-GB"/>
              </w:rPr>
            </w:pPr>
            <w:r w:rsidRPr="00AD7EBC">
              <w:rPr>
                <w:sz w:val="20"/>
                <w:szCs w:val="20"/>
                <w:lang w:val="en-GB"/>
              </w:rPr>
              <w:t>To be confirmed post initial assessment</w:t>
            </w:r>
          </w:p>
        </w:tc>
        <w:tc>
          <w:tcPr>
            <w:tcW w:w="2015" w:type="dxa"/>
          </w:tcPr>
          <w:p w14:paraId="0D256AFD" w14:textId="5EAD88CE" w:rsidR="00F54E78" w:rsidRPr="00AD7EBC" w:rsidRDefault="00125F56" w:rsidP="00911690">
            <w:pPr>
              <w:widowControl/>
              <w:spacing w:after="200" w:line="276" w:lineRule="auto"/>
              <w:contextualSpacing/>
              <w:jc w:val="center"/>
              <w:rPr>
                <w:sz w:val="20"/>
                <w:szCs w:val="20"/>
                <w:lang w:val="en-GB"/>
              </w:rPr>
            </w:pPr>
            <w:r w:rsidRPr="00AD7EBC">
              <w:rPr>
                <w:sz w:val="20"/>
                <w:szCs w:val="20"/>
                <w:lang w:val="en-GB"/>
              </w:rPr>
              <w:t>To be confirmed post initial assessment</w:t>
            </w:r>
          </w:p>
        </w:tc>
        <w:tc>
          <w:tcPr>
            <w:tcW w:w="2378" w:type="dxa"/>
          </w:tcPr>
          <w:p w14:paraId="5DB7499D" w14:textId="7870D12B" w:rsidR="00F54E78" w:rsidRPr="00AD7EBC" w:rsidRDefault="00125F56" w:rsidP="00911690">
            <w:pPr>
              <w:widowControl/>
              <w:spacing w:after="200" w:line="276" w:lineRule="auto"/>
              <w:contextualSpacing/>
              <w:jc w:val="center"/>
              <w:rPr>
                <w:sz w:val="20"/>
                <w:szCs w:val="20"/>
                <w:lang w:val="en-GB"/>
              </w:rPr>
            </w:pPr>
            <w:r w:rsidRPr="00AD7EBC">
              <w:rPr>
                <w:sz w:val="20"/>
                <w:szCs w:val="20"/>
                <w:lang w:val="en-GB"/>
              </w:rPr>
              <w:t>To be confirmed post initial assessment</w:t>
            </w:r>
          </w:p>
        </w:tc>
      </w:tr>
      <w:tr w:rsidR="00F54E78" w:rsidRPr="00AD7EBC" w14:paraId="695BFF3B" w14:textId="77777777" w:rsidTr="00BC0501">
        <w:trPr>
          <w:trHeight w:val="290"/>
        </w:trPr>
        <w:tc>
          <w:tcPr>
            <w:tcW w:w="2188" w:type="dxa"/>
          </w:tcPr>
          <w:p w14:paraId="52754921" w14:textId="56BD0118" w:rsidR="00F54E78" w:rsidRPr="00AD7EBC" w:rsidRDefault="00F54E78" w:rsidP="008433D9">
            <w:pPr>
              <w:widowControl/>
              <w:spacing w:after="200" w:line="276" w:lineRule="auto"/>
              <w:contextualSpacing/>
              <w:rPr>
                <w:sz w:val="20"/>
                <w:szCs w:val="20"/>
                <w:lang w:val="en-GB"/>
              </w:rPr>
            </w:pPr>
            <w:r w:rsidRPr="00AD7EBC">
              <w:rPr>
                <w:sz w:val="20"/>
                <w:szCs w:val="20"/>
                <w:lang w:val="en-GB"/>
              </w:rPr>
              <w:t>Haut Katanga</w:t>
            </w:r>
          </w:p>
        </w:tc>
        <w:tc>
          <w:tcPr>
            <w:tcW w:w="2507" w:type="dxa"/>
          </w:tcPr>
          <w:p w14:paraId="788357CB" w14:textId="598C57A6" w:rsidR="00F54E78" w:rsidRPr="00AD7EBC" w:rsidRDefault="00125F56" w:rsidP="00911690">
            <w:pPr>
              <w:widowControl/>
              <w:spacing w:after="200" w:line="276" w:lineRule="auto"/>
              <w:contextualSpacing/>
              <w:jc w:val="center"/>
              <w:rPr>
                <w:sz w:val="20"/>
                <w:szCs w:val="20"/>
                <w:lang w:val="en-GB"/>
              </w:rPr>
            </w:pPr>
            <w:r w:rsidRPr="00AD7EBC">
              <w:rPr>
                <w:sz w:val="20"/>
                <w:szCs w:val="20"/>
                <w:lang w:val="en-GB"/>
              </w:rPr>
              <w:t>To be confirmed post initial assessment</w:t>
            </w:r>
          </w:p>
        </w:tc>
        <w:tc>
          <w:tcPr>
            <w:tcW w:w="2015" w:type="dxa"/>
          </w:tcPr>
          <w:p w14:paraId="4CB5F75B" w14:textId="42662492" w:rsidR="00F54E78" w:rsidRPr="00AD7EBC" w:rsidRDefault="00125F56" w:rsidP="00911690">
            <w:pPr>
              <w:widowControl/>
              <w:spacing w:after="200" w:line="276" w:lineRule="auto"/>
              <w:contextualSpacing/>
              <w:jc w:val="center"/>
              <w:rPr>
                <w:sz w:val="20"/>
                <w:szCs w:val="20"/>
                <w:lang w:val="en-GB"/>
              </w:rPr>
            </w:pPr>
            <w:r w:rsidRPr="00AD7EBC">
              <w:rPr>
                <w:sz w:val="20"/>
                <w:szCs w:val="20"/>
                <w:lang w:val="en-GB"/>
              </w:rPr>
              <w:t>To be confirmed post initial assessment</w:t>
            </w:r>
          </w:p>
        </w:tc>
        <w:tc>
          <w:tcPr>
            <w:tcW w:w="2378" w:type="dxa"/>
          </w:tcPr>
          <w:p w14:paraId="61CBFAA9" w14:textId="1B155E9A" w:rsidR="00F54E78" w:rsidRPr="00AD7EBC" w:rsidRDefault="00125F56" w:rsidP="00911690">
            <w:pPr>
              <w:widowControl/>
              <w:spacing w:after="200" w:line="276" w:lineRule="auto"/>
              <w:contextualSpacing/>
              <w:jc w:val="center"/>
              <w:rPr>
                <w:sz w:val="20"/>
                <w:szCs w:val="20"/>
                <w:lang w:val="en-GB"/>
              </w:rPr>
            </w:pPr>
            <w:r w:rsidRPr="00AD7EBC">
              <w:rPr>
                <w:sz w:val="20"/>
                <w:szCs w:val="20"/>
                <w:lang w:val="en-GB"/>
              </w:rPr>
              <w:t>To be confirmed post initial assessment</w:t>
            </w:r>
          </w:p>
        </w:tc>
      </w:tr>
      <w:tr w:rsidR="00F54E78" w:rsidRPr="00AD7EBC" w14:paraId="2DBF4FA1" w14:textId="77777777" w:rsidTr="00BC0501">
        <w:trPr>
          <w:trHeight w:val="276"/>
        </w:trPr>
        <w:tc>
          <w:tcPr>
            <w:tcW w:w="2188" w:type="dxa"/>
          </w:tcPr>
          <w:p w14:paraId="14433EFC" w14:textId="04F6D8E6" w:rsidR="00F54E78" w:rsidRPr="00AD7EBC" w:rsidRDefault="00F54E78" w:rsidP="00911690">
            <w:pPr>
              <w:widowControl/>
              <w:spacing w:after="200" w:line="276" w:lineRule="auto"/>
              <w:contextualSpacing/>
              <w:jc w:val="both"/>
              <w:rPr>
                <w:sz w:val="20"/>
                <w:szCs w:val="20"/>
                <w:lang w:val="en-GB"/>
              </w:rPr>
            </w:pPr>
            <w:r w:rsidRPr="00AD7EBC">
              <w:rPr>
                <w:sz w:val="20"/>
                <w:szCs w:val="20"/>
                <w:lang w:val="en-GB"/>
              </w:rPr>
              <w:t>Tanganyika</w:t>
            </w:r>
          </w:p>
        </w:tc>
        <w:tc>
          <w:tcPr>
            <w:tcW w:w="2507" w:type="dxa"/>
          </w:tcPr>
          <w:p w14:paraId="72D417C5" w14:textId="780B5B6F" w:rsidR="00F54E78" w:rsidRPr="00AD7EBC" w:rsidRDefault="00125F56" w:rsidP="00911690">
            <w:pPr>
              <w:widowControl/>
              <w:spacing w:after="200" w:line="276" w:lineRule="auto"/>
              <w:contextualSpacing/>
              <w:jc w:val="center"/>
              <w:rPr>
                <w:sz w:val="20"/>
                <w:szCs w:val="20"/>
                <w:lang w:val="en-GB"/>
              </w:rPr>
            </w:pPr>
            <w:r w:rsidRPr="00AD7EBC">
              <w:rPr>
                <w:sz w:val="20"/>
                <w:szCs w:val="20"/>
                <w:lang w:val="en-GB"/>
              </w:rPr>
              <w:t>To be confirmed post initial assessment</w:t>
            </w:r>
          </w:p>
        </w:tc>
        <w:tc>
          <w:tcPr>
            <w:tcW w:w="2015" w:type="dxa"/>
          </w:tcPr>
          <w:p w14:paraId="6C927AE5" w14:textId="6395D7CB" w:rsidR="00F54E78" w:rsidRPr="00AD7EBC" w:rsidRDefault="00125F56" w:rsidP="00911690">
            <w:pPr>
              <w:widowControl/>
              <w:spacing w:after="200" w:line="276" w:lineRule="auto"/>
              <w:contextualSpacing/>
              <w:jc w:val="center"/>
              <w:rPr>
                <w:sz w:val="20"/>
                <w:szCs w:val="20"/>
                <w:lang w:val="en-GB"/>
              </w:rPr>
            </w:pPr>
            <w:r w:rsidRPr="00AD7EBC">
              <w:rPr>
                <w:sz w:val="20"/>
                <w:szCs w:val="20"/>
                <w:lang w:val="en-GB"/>
              </w:rPr>
              <w:t>To be confirmed post initial assessment</w:t>
            </w:r>
          </w:p>
        </w:tc>
        <w:tc>
          <w:tcPr>
            <w:tcW w:w="2378" w:type="dxa"/>
          </w:tcPr>
          <w:p w14:paraId="4DA0D2AF" w14:textId="1DDAF6B7" w:rsidR="00F54E78" w:rsidRPr="00AD7EBC" w:rsidRDefault="00125F56" w:rsidP="00911690">
            <w:pPr>
              <w:widowControl/>
              <w:spacing w:after="200" w:line="276" w:lineRule="auto"/>
              <w:contextualSpacing/>
              <w:jc w:val="center"/>
              <w:rPr>
                <w:sz w:val="20"/>
                <w:szCs w:val="20"/>
                <w:lang w:val="en-GB"/>
              </w:rPr>
            </w:pPr>
            <w:r w:rsidRPr="00AD7EBC">
              <w:rPr>
                <w:sz w:val="20"/>
                <w:szCs w:val="20"/>
                <w:lang w:val="en-GB"/>
              </w:rPr>
              <w:t>To be confirmed post initial assessment</w:t>
            </w:r>
          </w:p>
        </w:tc>
      </w:tr>
      <w:tr w:rsidR="00F54E78" w:rsidRPr="00AD7EBC" w14:paraId="1EAB315B" w14:textId="77777777" w:rsidTr="00BC0501">
        <w:trPr>
          <w:trHeight w:val="290"/>
        </w:trPr>
        <w:tc>
          <w:tcPr>
            <w:tcW w:w="2188" w:type="dxa"/>
          </w:tcPr>
          <w:p w14:paraId="0A860B39" w14:textId="16D18A74" w:rsidR="00F54E78" w:rsidRPr="00AD7EBC" w:rsidRDefault="00F54E78" w:rsidP="00911690">
            <w:pPr>
              <w:widowControl/>
              <w:spacing w:after="200" w:line="276" w:lineRule="auto"/>
              <w:contextualSpacing/>
              <w:jc w:val="both"/>
              <w:rPr>
                <w:sz w:val="20"/>
                <w:szCs w:val="20"/>
                <w:lang w:val="en-GB"/>
              </w:rPr>
            </w:pPr>
            <w:proofErr w:type="spellStart"/>
            <w:r w:rsidRPr="00AD7EBC">
              <w:rPr>
                <w:sz w:val="20"/>
                <w:szCs w:val="20"/>
                <w:lang w:val="en-GB"/>
              </w:rPr>
              <w:t>Lualaba</w:t>
            </w:r>
            <w:proofErr w:type="spellEnd"/>
          </w:p>
        </w:tc>
        <w:tc>
          <w:tcPr>
            <w:tcW w:w="2507" w:type="dxa"/>
          </w:tcPr>
          <w:p w14:paraId="5369395C" w14:textId="66BFB33F" w:rsidR="00F54E78" w:rsidRPr="00AD7EBC" w:rsidRDefault="00125F56" w:rsidP="00911690">
            <w:pPr>
              <w:widowControl/>
              <w:spacing w:after="200" w:line="276" w:lineRule="auto"/>
              <w:contextualSpacing/>
              <w:jc w:val="center"/>
              <w:rPr>
                <w:sz w:val="20"/>
                <w:szCs w:val="20"/>
                <w:lang w:val="en-GB"/>
              </w:rPr>
            </w:pPr>
            <w:r w:rsidRPr="00AD7EBC">
              <w:rPr>
                <w:sz w:val="20"/>
                <w:szCs w:val="20"/>
                <w:lang w:val="en-GB"/>
              </w:rPr>
              <w:t>To be confirmed post initial assessment</w:t>
            </w:r>
          </w:p>
        </w:tc>
        <w:tc>
          <w:tcPr>
            <w:tcW w:w="2015" w:type="dxa"/>
          </w:tcPr>
          <w:p w14:paraId="38094355" w14:textId="06847006" w:rsidR="00F54E78" w:rsidRPr="00AD7EBC" w:rsidRDefault="00125F56" w:rsidP="00911690">
            <w:pPr>
              <w:widowControl/>
              <w:spacing w:after="200" w:line="276" w:lineRule="auto"/>
              <w:contextualSpacing/>
              <w:jc w:val="center"/>
              <w:rPr>
                <w:sz w:val="20"/>
                <w:szCs w:val="20"/>
                <w:lang w:val="en-GB"/>
              </w:rPr>
            </w:pPr>
            <w:r w:rsidRPr="00AD7EBC">
              <w:rPr>
                <w:sz w:val="20"/>
                <w:szCs w:val="20"/>
                <w:lang w:val="en-GB"/>
              </w:rPr>
              <w:t>To be confirmed post initial assessment</w:t>
            </w:r>
          </w:p>
        </w:tc>
        <w:tc>
          <w:tcPr>
            <w:tcW w:w="2378" w:type="dxa"/>
          </w:tcPr>
          <w:p w14:paraId="06CA6C58" w14:textId="743789DE" w:rsidR="00F54E78" w:rsidRPr="00AD7EBC" w:rsidRDefault="00125F56" w:rsidP="00911690">
            <w:pPr>
              <w:widowControl/>
              <w:spacing w:after="200" w:line="276" w:lineRule="auto"/>
              <w:contextualSpacing/>
              <w:jc w:val="center"/>
              <w:rPr>
                <w:sz w:val="20"/>
                <w:szCs w:val="20"/>
                <w:lang w:val="en-GB"/>
              </w:rPr>
            </w:pPr>
            <w:r w:rsidRPr="00AD7EBC">
              <w:rPr>
                <w:sz w:val="20"/>
                <w:szCs w:val="20"/>
                <w:lang w:val="en-GB"/>
              </w:rPr>
              <w:t>To be confirmed post initial assessment</w:t>
            </w:r>
          </w:p>
        </w:tc>
      </w:tr>
      <w:tr w:rsidR="00F54E78" w:rsidRPr="00AD7EBC" w14:paraId="331904E0" w14:textId="77777777" w:rsidTr="00BC0501">
        <w:trPr>
          <w:trHeight w:val="290"/>
        </w:trPr>
        <w:tc>
          <w:tcPr>
            <w:tcW w:w="2188" w:type="dxa"/>
          </w:tcPr>
          <w:p w14:paraId="17DD342A" w14:textId="412F098F" w:rsidR="00F54E78" w:rsidRPr="00AD7EBC" w:rsidRDefault="00F54E78" w:rsidP="008433D9">
            <w:pPr>
              <w:widowControl/>
              <w:spacing w:after="200" w:line="276" w:lineRule="auto"/>
              <w:contextualSpacing/>
              <w:jc w:val="right"/>
              <w:rPr>
                <w:b/>
                <w:sz w:val="20"/>
                <w:szCs w:val="20"/>
                <w:lang w:val="en-GB"/>
              </w:rPr>
            </w:pPr>
            <w:r w:rsidRPr="00AD7EBC">
              <w:rPr>
                <w:b/>
                <w:sz w:val="20"/>
                <w:szCs w:val="20"/>
                <w:lang w:val="en-GB"/>
              </w:rPr>
              <w:t>Total</w:t>
            </w:r>
          </w:p>
        </w:tc>
        <w:tc>
          <w:tcPr>
            <w:tcW w:w="2507" w:type="dxa"/>
          </w:tcPr>
          <w:p w14:paraId="1C26E535" w14:textId="0E605C69" w:rsidR="00F54E78" w:rsidRPr="00AD7EBC" w:rsidRDefault="00F54E78" w:rsidP="00911690">
            <w:pPr>
              <w:widowControl/>
              <w:spacing w:after="200" w:line="276" w:lineRule="auto"/>
              <w:contextualSpacing/>
              <w:jc w:val="center"/>
              <w:rPr>
                <w:sz w:val="20"/>
                <w:szCs w:val="20"/>
                <w:lang w:val="en-GB"/>
              </w:rPr>
            </w:pPr>
          </w:p>
        </w:tc>
        <w:tc>
          <w:tcPr>
            <w:tcW w:w="2015" w:type="dxa"/>
          </w:tcPr>
          <w:p w14:paraId="5C0BB600" w14:textId="21C5D3D4" w:rsidR="00F54E78" w:rsidRPr="00AD7EBC" w:rsidRDefault="00F54E78" w:rsidP="00911690">
            <w:pPr>
              <w:widowControl/>
              <w:spacing w:after="200" w:line="276" w:lineRule="auto"/>
              <w:contextualSpacing/>
              <w:jc w:val="center"/>
              <w:rPr>
                <w:sz w:val="20"/>
                <w:szCs w:val="20"/>
                <w:lang w:val="en-GB"/>
              </w:rPr>
            </w:pPr>
          </w:p>
        </w:tc>
        <w:tc>
          <w:tcPr>
            <w:tcW w:w="2378" w:type="dxa"/>
          </w:tcPr>
          <w:p w14:paraId="1B33F3B4" w14:textId="3D5C41E2" w:rsidR="00F54E78" w:rsidRPr="00AD7EBC" w:rsidRDefault="00F54E78" w:rsidP="00911690">
            <w:pPr>
              <w:widowControl/>
              <w:spacing w:after="200" w:line="276" w:lineRule="auto"/>
              <w:contextualSpacing/>
              <w:jc w:val="center"/>
              <w:rPr>
                <w:sz w:val="20"/>
                <w:szCs w:val="20"/>
                <w:lang w:val="en-GB"/>
              </w:rPr>
            </w:pPr>
          </w:p>
        </w:tc>
      </w:tr>
    </w:tbl>
    <w:p w14:paraId="185EC267" w14:textId="39676278" w:rsidR="00040C12" w:rsidRPr="00AD7EBC" w:rsidRDefault="00040C12" w:rsidP="007C7D0F">
      <w:pPr>
        <w:pStyle w:val="BodyText"/>
        <w:spacing w:before="7"/>
        <w:rPr>
          <w:sz w:val="32"/>
          <w:lang w:val="en-GB"/>
        </w:rPr>
      </w:pPr>
    </w:p>
    <w:tbl>
      <w:tblPr>
        <w:tblStyle w:val="TableGrid"/>
        <w:tblW w:w="8970" w:type="dxa"/>
        <w:tblInd w:w="142" w:type="dxa"/>
        <w:tblBorders>
          <w:top w:val="none" w:sz="0" w:space="0" w:color="auto"/>
        </w:tblBorders>
        <w:tblLook w:val="04A0" w:firstRow="1" w:lastRow="0" w:firstColumn="1" w:lastColumn="0" w:noHBand="0" w:noVBand="1"/>
      </w:tblPr>
      <w:tblGrid>
        <w:gridCol w:w="3005"/>
        <w:gridCol w:w="4083"/>
        <w:gridCol w:w="1882"/>
      </w:tblGrid>
      <w:tr w:rsidR="008433D9" w:rsidRPr="00AD7EBC" w14:paraId="2284CE27" w14:textId="77777777" w:rsidTr="00011CCB">
        <w:trPr>
          <w:trHeight w:val="304"/>
        </w:trPr>
        <w:tc>
          <w:tcPr>
            <w:tcW w:w="3005" w:type="dxa"/>
            <w:tcBorders>
              <w:top w:val="nil"/>
              <w:left w:val="nil"/>
            </w:tcBorders>
          </w:tcPr>
          <w:p w14:paraId="0D327E77" w14:textId="11C790BF" w:rsidR="008433D9" w:rsidRPr="00AD7EBC" w:rsidRDefault="008433D9" w:rsidP="00911690">
            <w:pPr>
              <w:widowControl/>
              <w:spacing w:after="200" w:line="276" w:lineRule="auto"/>
              <w:contextualSpacing/>
              <w:jc w:val="both"/>
              <w:rPr>
                <w:b/>
                <w:sz w:val="20"/>
                <w:szCs w:val="20"/>
                <w:lang w:val="en-GB"/>
              </w:rPr>
            </w:pPr>
          </w:p>
        </w:tc>
        <w:tc>
          <w:tcPr>
            <w:tcW w:w="5965" w:type="dxa"/>
            <w:gridSpan w:val="2"/>
            <w:tcBorders>
              <w:top w:val="single" w:sz="4" w:space="0" w:color="auto"/>
            </w:tcBorders>
          </w:tcPr>
          <w:p w14:paraId="652A4ACF" w14:textId="77777777" w:rsidR="008433D9" w:rsidRPr="00AD7EBC" w:rsidRDefault="008433D9" w:rsidP="00911690">
            <w:pPr>
              <w:widowControl/>
              <w:spacing w:after="200" w:line="276" w:lineRule="auto"/>
              <w:contextualSpacing/>
              <w:jc w:val="both"/>
              <w:rPr>
                <w:b/>
                <w:sz w:val="20"/>
                <w:szCs w:val="20"/>
                <w:lang w:val="en-GB"/>
              </w:rPr>
            </w:pPr>
            <w:r w:rsidRPr="00AD7EBC">
              <w:rPr>
                <w:b/>
                <w:sz w:val="20"/>
                <w:szCs w:val="20"/>
                <w:lang w:val="en-GB"/>
              </w:rPr>
              <w:t>Beneficiaries</w:t>
            </w:r>
          </w:p>
        </w:tc>
      </w:tr>
      <w:tr w:rsidR="008433D9" w:rsidRPr="00AD7EBC" w14:paraId="5694276F" w14:textId="77777777" w:rsidTr="00011CCB">
        <w:trPr>
          <w:trHeight w:val="304"/>
        </w:trPr>
        <w:tc>
          <w:tcPr>
            <w:tcW w:w="3005" w:type="dxa"/>
          </w:tcPr>
          <w:p w14:paraId="5BE577AC" w14:textId="3008A1AA" w:rsidR="008433D9" w:rsidRPr="00AD7EBC" w:rsidRDefault="008433D9" w:rsidP="00911690">
            <w:pPr>
              <w:widowControl/>
              <w:spacing w:after="200" w:line="276" w:lineRule="auto"/>
              <w:contextualSpacing/>
              <w:jc w:val="both"/>
              <w:rPr>
                <w:sz w:val="20"/>
                <w:szCs w:val="20"/>
                <w:lang w:val="en-GB"/>
              </w:rPr>
            </w:pPr>
            <w:r w:rsidRPr="00AD7EBC">
              <w:rPr>
                <w:b/>
                <w:sz w:val="20"/>
                <w:szCs w:val="20"/>
                <w:lang w:val="en-GB"/>
              </w:rPr>
              <w:t>Interventions</w:t>
            </w:r>
          </w:p>
        </w:tc>
        <w:tc>
          <w:tcPr>
            <w:tcW w:w="4083" w:type="dxa"/>
          </w:tcPr>
          <w:p w14:paraId="0D2CE298" w14:textId="7977D3FF" w:rsidR="008433D9" w:rsidRPr="00AD7EBC" w:rsidRDefault="008433D9" w:rsidP="00911690">
            <w:pPr>
              <w:widowControl/>
              <w:spacing w:after="200" w:line="276" w:lineRule="auto"/>
              <w:contextualSpacing/>
              <w:jc w:val="both"/>
              <w:rPr>
                <w:b/>
                <w:sz w:val="20"/>
                <w:szCs w:val="20"/>
                <w:lang w:val="en-GB"/>
              </w:rPr>
            </w:pPr>
            <w:r w:rsidRPr="00AD7EBC">
              <w:rPr>
                <w:b/>
                <w:sz w:val="20"/>
                <w:szCs w:val="20"/>
                <w:lang w:val="en-GB"/>
              </w:rPr>
              <w:t>Recipients (who?)</w:t>
            </w:r>
          </w:p>
        </w:tc>
        <w:tc>
          <w:tcPr>
            <w:tcW w:w="1882" w:type="dxa"/>
          </w:tcPr>
          <w:p w14:paraId="0DFDA448" w14:textId="77777777" w:rsidR="008433D9" w:rsidRPr="00AD7EBC" w:rsidRDefault="008433D9" w:rsidP="00911690">
            <w:pPr>
              <w:widowControl/>
              <w:spacing w:after="200" w:line="276" w:lineRule="auto"/>
              <w:contextualSpacing/>
              <w:jc w:val="both"/>
              <w:rPr>
                <w:b/>
                <w:sz w:val="20"/>
                <w:szCs w:val="20"/>
                <w:lang w:val="en-GB"/>
              </w:rPr>
            </w:pPr>
            <w:r w:rsidRPr="00AD7EBC">
              <w:rPr>
                <w:b/>
                <w:sz w:val="20"/>
                <w:szCs w:val="20"/>
                <w:lang w:val="en-GB"/>
              </w:rPr>
              <w:t>Direct reach #</w:t>
            </w:r>
          </w:p>
        </w:tc>
      </w:tr>
      <w:tr w:rsidR="008433D9" w:rsidRPr="00AD7EBC" w14:paraId="2063B256" w14:textId="77777777" w:rsidTr="00011CCB">
        <w:trPr>
          <w:trHeight w:val="304"/>
        </w:trPr>
        <w:tc>
          <w:tcPr>
            <w:tcW w:w="3005" w:type="dxa"/>
          </w:tcPr>
          <w:p w14:paraId="0CB9BFE5" w14:textId="2A57DCF0" w:rsidR="008433D9" w:rsidRPr="00AD7EBC" w:rsidRDefault="008433D9" w:rsidP="00911690">
            <w:pPr>
              <w:widowControl/>
              <w:spacing w:after="200" w:line="276" w:lineRule="auto"/>
              <w:contextualSpacing/>
              <w:rPr>
                <w:sz w:val="20"/>
                <w:szCs w:val="20"/>
                <w:lang w:val="en-GB"/>
              </w:rPr>
            </w:pPr>
            <w:r w:rsidRPr="00AD7EBC">
              <w:rPr>
                <w:sz w:val="20"/>
                <w:szCs w:val="20"/>
                <w:lang w:val="en-GB"/>
              </w:rPr>
              <w:t xml:space="preserve">Literacy &amp; </w:t>
            </w:r>
            <w:r w:rsidR="00011402" w:rsidRPr="00AD7EBC">
              <w:rPr>
                <w:sz w:val="20"/>
                <w:szCs w:val="20"/>
                <w:lang w:val="en-GB"/>
              </w:rPr>
              <w:t>Numeracy B</w:t>
            </w:r>
            <w:r w:rsidRPr="00AD7EBC">
              <w:rPr>
                <w:sz w:val="20"/>
                <w:szCs w:val="20"/>
                <w:lang w:val="en-GB"/>
              </w:rPr>
              <w:t xml:space="preserve">oost </w:t>
            </w:r>
            <w:r w:rsidR="00011402" w:rsidRPr="00AD7EBC">
              <w:rPr>
                <w:sz w:val="20"/>
                <w:szCs w:val="20"/>
                <w:lang w:val="en-GB"/>
              </w:rPr>
              <w:t>(Supplementary classes)</w:t>
            </w:r>
          </w:p>
        </w:tc>
        <w:tc>
          <w:tcPr>
            <w:tcW w:w="4083" w:type="dxa"/>
          </w:tcPr>
          <w:p w14:paraId="4D035D40" w14:textId="087E8CFE" w:rsidR="008433D9" w:rsidRPr="00AD7EBC" w:rsidRDefault="00F47458" w:rsidP="00125F56">
            <w:pPr>
              <w:widowControl/>
              <w:spacing w:after="200" w:line="276" w:lineRule="auto"/>
              <w:contextualSpacing/>
              <w:rPr>
                <w:sz w:val="20"/>
                <w:szCs w:val="20"/>
                <w:lang w:val="en-GB"/>
              </w:rPr>
            </w:pPr>
            <w:r w:rsidRPr="00AD7EBC">
              <w:rPr>
                <w:sz w:val="20"/>
                <w:szCs w:val="20"/>
                <w:lang w:val="en-GB"/>
              </w:rPr>
              <w:t>Girls and boys in 267</w:t>
            </w:r>
            <w:r w:rsidR="00125F56" w:rsidRPr="00AD7EBC">
              <w:rPr>
                <w:sz w:val="20"/>
                <w:szCs w:val="20"/>
                <w:lang w:val="en-GB"/>
              </w:rPr>
              <w:t xml:space="preserve"> schools and communities in need of additional numeracy and literacy support</w:t>
            </w:r>
          </w:p>
        </w:tc>
        <w:tc>
          <w:tcPr>
            <w:tcW w:w="1882" w:type="dxa"/>
          </w:tcPr>
          <w:p w14:paraId="151D4EC6" w14:textId="1906AC10" w:rsidR="008433D9" w:rsidRPr="00AD7EBC" w:rsidRDefault="00125F56" w:rsidP="00911690">
            <w:pPr>
              <w:widowControl/>
              <w:spacing w:after="200" w:line="276" w:lineRule="auto"/>
              <w:contextualSpacing/>
              <w:rPr>
                <w:sz w:val="20"/>
                <w:szCs w:val="20"/>
                <w:lang w:val="en-GB"/>
              </w:rPr>
            </w:pPr>
            <w:r w:rsidRPr="00AD7EBC">
              <w:rPr>
                <w:sz w:val="20"/>
                <w:szCs w:val="20"/>
                <w:lang w:val="en-GB"/>
              </w:rPr>
              <w:t>TBD</w:t>
            </w:r>
          </w:p>
        </w:tc>
      </w:tr>
      <w:tr w:rsidR="008433D9" w:rsidRPr="00AD7EBC" w14:paraId="40F5C27A" w14:textId="77777777" w:rsidTr="00011CCB">
        <w:trPr>
          <w:trHeight w:val="304"/>
        </w:trPr>
        <w:tc>
          <w:tcPr>
            <w:tcW w:w="3005" w:type="dxa"/>
          </w:tcPr>
          <w:p w14:paraId="2BBD4DC2" w14:textId="756D9411" w:rsidR="008433D9" w:rsidRPr="00AD7EBC" w:rsidRDefault="00125F56" w:rsidP="00911690">
            <w:pPr>
              <w:widowControl/>
              <w:spacing w:after="200" w:line="276" w:lineRule="auto"/>
              <w:contextualSpacing/>
              <w:rPr>
                <w:sz w:val="20"/>
                <w:szCs w:val="20"/>
                <w:lang w:val="en-GB"/>
              </w:rPr>
            </w:pPr>
            <w:r w:rsidRPr="00AD7EBC">
              <w:rPr>
                <w:sz w:val="20"/>
                <w:szCs w:val="20"/>
                <w:lang w:val="en-GB"/>
              </w:rPr>
              <w:t xml:space="preserve">Teacher professional development </w:t>
            </w:r>
          </w:p>
        </w:tc>
        <w:tc>
          <w:tcPr>
            <w:tcW w:w="4083" w:type="dxa"/>
          </w:tcPr>
          <w:p w14:paraId="185CCE04" w14:textId="07C39AB7" w:rsidR="008433D9" w:rsidRPr="00AD7EBC" w:rsidRDefault="00125F56" w:rsidP="00911690">
            <w:pPr>
              <w:widowControl/>
              <w:spacing w:after="200" w:line="276" w:lineRule="auto"/>
              <w:contextualSpacing/>
              <w:rPr>
                <w:sz w:val="20"/>
                <w:szCs w:val="20"/>
                <w:lang w:val="en-GB"/>
              </w:rPr>
            </w:pPr>
            <w:r w:rsidRPr="00AD7EBC">
              <w:rPr>
                <w:sz w:val="20"/>
                <w:szCs w:val="20"/>
                <w:lang w:val="en-GB"/>
              </w:rPr>
              <w:t>TOT training with inspectors from the ministry of 6 provinces at primary and secondary levels</w:t>
            </w:r>
            <w:r w:rsidR="00011402" w:rsidRPr="00AD7EBC">
              <w:rPr>
                <w:sz w:val="20"/>
                <w:szCs w:val="20"/>
                <w:lang w:val="en-GB"/>
              </w:rPr>
              <w:t>.</w:t>
            </w:r>
            <w:r w:rsidRPr="00AD7EBC">
              <w:rPr>
                <w:sz w:val="20"/>
                <w:szCs w:val="20"/>
                <w:lang w:val="en-GB"/>
              </w:rPr>
              <w:t xml:space="preserve"> </w:t>
            </w:r>
          </w:p>
        </w:tc>
        <w:tc>
          <w:tcPr>
            <w:tcW w:w="1882" w:type="dxa"/>
          </w:tcPr>
          <w:p w14:paraId="3B582E52" w14:textId="2FBEFC75" w:rsidR="008433D9" w:rsidRPr="00AD7EBC" w:rsidRDefault="00F47458" w:rsidP="00911690">
            <w:pPr>
              <w:widowControl/>
              <w:spacing w:after="200" w:line="276" w:lineRule="auto"/>
              <w:contextualSpacing/>
              <w:rPr>
                <w:sz w:val="20"/>
                <w:szCs w:val="20"/>
                <w:lang w:val="en-GB"/>
              </w:rPr>
            </w:pPr>
            <w:r w:rsidRPr="00AD7EBC">
              <w:rPr>
                <w:sz w:val="20"/>
                <w:szCs w:val="20"/>
                <w:lang w:val="en-GB"/>
              </w:rPr>
              <w:t>1000 teachers and 12 inspectors</w:t>
            </w:r>
          </w:p>
        </w:tc>
      </w:tr>
      <w:tr w:rsidR="008433D9" w:rsidRPr="00AD7EBC" w14:paraId="3016CD1F" w14:textId="77777777" w:rsidTr="00011CCB">
        <w:trPr>
          <w:trHeight w:val="304"/>
        </w:trPr>
        <w:tc>
          <w:tcPr>
            <w:tcW w:w="3005" w:type="dxa"/>
          </w:tcPr>
          <w:p w14:paraId="2F328F20" w14:textId="5AEC2BD0" w:rsidR="008433D9" w:rsidRPr="00AD7EBC" w:rsidRDefault="00F47458" w:rsidP="00911690">
            <w:pPr>
              <w:widowControl/>
              <w:spacing w:after="200" w:line="276" w:lineRule="auto"/>
              <w:contextualSpacing/>
              <w:rPr>
                <w:sz w:val="20"/>
                <w:szCs w:val="20"/>
                <w:lang w:val="en-GB"/>
              </w:rPr>
            </w:pPr>
            <w:r w:rsidRPr="00AD7EBC">
              <w:rPr>
                <w:sz w:val="20"/>
                <w:szCs w:val="20"/>
                <w:lang w:val="en-GB"/>
              </w:rPr>
              <w:t>Accelerated education</w:t>
            </w:r>
            <w:r w:rsidR="0052180E" w:rsidRPr="00AD7EBC">
              <w:rPr>
                <w:sz w:val="20"/>
                <w:szCs w:val="20"/>
                <w:lang w:val="en-GB"/>
              </w:rPr>
              <w:t xml:space="preserve"> methodologies</w:t>
            </w:r>
          </w:p>
        </w:tc>
        <w:tc>
          <w:tcPr>
            <w:tcW w:w="4083" w:type="dxa"/>
          </w:tcPr>
          <w:p w14:paraId="41A97912" w14:textId="18197F1E" w:rsidR="008433D9" w:rsidRPr="00AD7EBC" w:rsidRDefault="001003D5" w:rsidP="00911690">
            <w:pPr>
              <w:widowControl/>
              <w:spacing w:after="200" w:line="276" w:lineRule="auto"/>
              <w:contextualSpacing/>
              <w:rPr>
                <w:sz w:val="20"/>
                <w:szCs w:val="20"/>
                <w:lang w:val="en-GB"/>
              </w:rPr>
            </w:pPr>
            <w:r w:rsidRPr="00AD7EBC">
              <w:rPr>
                <w:sz w:val="20"/>
                <w:szCs w:val="20"/>
                <w:lang w:val="en-GB"/>
              </w:rPr>
              <w:t>Educators implementing accelerated education.</w:t>
            </w:r>
          </w:p>
        </w:tc>
        <w:tc>
          <w:tcPr>
            <w:tcW w:w="1882" w:type="dxa"/>
          </w:tcPr>
          <w:p w14:paraId="1D967518" w14:textId="032F4407" w:rsidR="008433D9" w:rsidRPr="00AD7EBC" w:rsidRDefault="0052180E" w:rsidP="00911690">
            <w:pPr>
              <w:widowControl/>
              <w:spacing w:after="200" w:line="276" w:lineRule="auto"/>
              <w:contextualSpacing/>
              <w:rPr>
                <w:sz w:val="20"/>
                <w:szCs w:val="20"/>
                <w:lang w:val="en-GB"/>
              </w:rPr>
            </w:pPr>
            <w:r w:rsidRPr="00AD7EBC">
              <w:rPr>
                <w:sz w:val="20"/>
                <w:szCs w:val="20"/>
                <w:lang w:val="en-GB"/>
              </w:rPr>
              <w:t xml:space="preserve">20 educators </w:t>
            </w:r>
          </w:p>
        </w:tc>
      </w:tr>
      <w:tr w:rsidR="008433D9" w:rsidRPr="00AD7EBC" w14:paraId="78201B25" w14:textId="77777777" w:rsidTr="00011CCB">
        <w:trPr>
          <w:trHeight w:val="304"/>
        </w:trPr>
        <w:tc>
          <w:tcPr>
            <w:tcW w:w="3005" w:type="dxa"/>
          </w:tcPr>
          <w:p w14:paraId="75C7E8F6" w14:textId="1C875521" w:rsidR="008433D9" w:rsidRPr="00AD7EBC" w:rsidRDefault="00F47458" w:rsidP="00911690">
            <w:pPr>
              <w:widowControl/>
              <w:spacing w:after="200" w:line="276" w:lineRule="auto"/>
              <w:contextualSpacing/>
              <w:rPr>
                <w:sz w:val="20"/>
                <w:szCs w:val="20"/>
                <w:lang w:val="en-GB"/>
              </w:rPr>
            </w:pPr>
            <w:r w:rsidRPr="00AD7EBC">
              <w:rPr>
                <w:sz w:val="20"/>
                <w:szCs w:val="20"/>
                <w:lang w:val="en-GB"/>
              </w:rPr>
              <w:t>Conflict sensitive education</w:t>
            </w:r>
          </w:p>
        </w:tc>
        <w:tc>
          <w:tcPr>
            <w:tcW w:w="4083" w:type="dxa"/>
          </w:tcPr>
          <w:p w14:paraId="1141293F" w14:textId="603AE688" w:rsidR="008433D9" w:rsidRPr="00AD7EBC" w:rsidRDefault="00F47458" w:rsidP="00F47458">
            <w:pPr>
              <w:widowControl/>
              <w:spacing w:after="200" w:line="276" w:lineRule="auto"/>
              <w:contextualSpacing/>
              <w:rPr>
                <w:sz w:val="20"/>
                <w:szCs w:val="20"/>
                <w:lang w:val="en-GB"/>
              </w:rPr>
            </w:pPr>
            <w:r w:rsidRPr="00AD7EBC">
              <w:rPr>
                <w:sz w:val="20"/>
                <w:szCs w:val="20"/>
                <w:lang w:val="en-GB"/>
              </w:rPr>
              <w:t xml:space="preserve">Teachers will be trained in psychological first aid and working with children who have been traumatised by violence and war. </w:t>
            </w:r>
          </w:p>
        </w:tc>
        <w:tc>
          <w:tcPr>
            <w:tcW w:w="1882" w:type="dxa"/>
          </w:tcPr>
          <w:p w14:paraId="0BD7FD61" w14:textId="4CDCB450" w:rsidR="008433D9" w:rsidRPr="00AD7EBC" w:rsidRDefault="00F47458" w:rsidP="00911690">
            <w:pPr>
              <w:widowControl/>
              <w:spacing w:after="200" w:line="276" w:lineRule="auto"/>
              <w:contextualSpacing/>
              <w:rPr>
                <w:sz w:val="20"/>
                <w:szCs w:val="20"/>
                <w:lang w:val="en-GB"/>
              </w:rPr>
            </w:pPr>
            <w:r w:rsidRPr="00AD7EBC">
              <w:rPr>
                <w:sz w:val="20"/>
                <w:szCs w:val="20"/>
                <w:lang w:val="en-GB"/>
              </w:rPr>
              <w:t>1000 teachers</w:t>
            </w:r>
          </w:p>
        </w:tc>
      </w:tr>
      <w:tr w:rsidR="008433D9" w:rsidRPr="00AD7EBC" w14:paraId="23CF9BF8" w14:textId="77777777" w:rsidTr="00011CCB">
        <w:trPr>
          <w:trHeight w:val="304"/>
        </w:trPr>
        <w:tc>
          <w:tcPr>
            <w:tcW w:w="3005" w:type="dxa"/>
          </w:tcPr>
          <w:p w14:paraId="02BE6164" w14:textId="79F3B2ED" w:rsidR="008433D9" w:rsidRPr="00AD7EBC" w:rsidRDefault="00F47458" w:rsidP="00911690">
            <w:pPr>
              <w:widowControl/>
              <w:spacing w:after="200" w:line="276" w:lineRule="auto"/>
              <w:contextualSpacing/>
              <w:rPr>
                <w:sz w:val="20"/>
                <w:szCs w:val="20"/>
                <w:lang w:val="en-GB"/>
              </w:rPr>
            </w:pPr>
            <w:r w:rsidRPr="00AD7EBC">
              <w:rPr>
                <w:sz w:val="20"/>
                <w:szCs w:val="20"/>
                <w:lang w:val="en-GB"/>
              </w:rPr>
              <w:t xml:space="preserve">Improved quality learning environment </w:t>
            </w:r>
          </w:p>
        </w:tc>
        <w:tc>
          <w:tcPr>
            <w:tcW w:w="4083" w:type="dxa"/>
          </w:tcPr>
          <w:p w14:paraId="5CAAF20C" w14:textId="76130271" w:rsidR="008433D9" w:rsidRPr="00AD7EBC" w:rsidRDefault="00F47458" w:rsidP="00911690">
            <w:pPr>
              <w:widowControl/>
              <w:spacing w:after="200" w:line="276" w:lineRule="auto"/>
              <w:contextualSpacing/>
              <w:rPr>
                <w:sz w:val="20"/>
                <w:szCs w:val="20"/>
                <w:lang w:val="en-GB"/>
              </w:rPr>
            </w:pPr>
            <w:r w:rsidRPr="00AD7EBC">
              <w:rPr>
                <w:sz w:val="20"/>
                <w:szCs w:val="20"/>
                <w:lang w:val="en-GB"/>
              </w:rPr>
              <w:t xml:space="preserve">All children benefiting from additional resources. </w:t>
            </w:r>
          </w:p>
        </w:tc>
        <w:tc>
          <w:tcPr>
            <w:tcW w:w="1882" w:type="dxa"/>
          </w:tcPr>
          <w:p w14:paraId="2514A376" w14:textId="29B79EC9" w:rsidR="008433D9" w:rsidRPr="00AD7EBC" w:rsidRDefault="00F47458" w:rsidP="00911690">
            <w:pPr>
              <w:widowControl/>
              <w:spacing w:after="200" w:line="276" w:lineRule="auto"/>
              <w:contextualSpacing/>
              <w:rPr>
                <w:sz w:val="20"/>
                <w:szCs w:val="20"/>
                <w:lang w:val="en-GB"/>
              </w:rPr>
            </w:pPr>
            <w:r w:rsidRPr="00AD7EBC">
              <w:rPr>
                <w:sz w:val="20"/>
                <w:szCs w:val="20"/>
                <w:lang w:val="en-GB"/>
              </w:rPr>
              <w:t xml:space="preserve">75000 girls </w:t>
            </w:r>
          </w:p>
        </w:tc>
      </w:tr>
      <w:tr w:rsidR="008433D9" w:rsidRPr="00AD7EBC" w14:paraId="62805988" w14:textId="77777777" w:rsidTr="00011CCB">
        <w:trPr>
          <w:trHeight w:val="304"/>
        </w:trPr>
        <w:tc>
          <w:tcPr>
            <w:tcW w:w="3005" w:type="dxa"/>
          </w:tcPr>
          <w:p w14:paraId="6E9F321D" w14:textId="04534E01" w:rsidR="008433D9" w:rsidRPr="00AD7EBC" w:rsidRDefault="00F47458" w:rsidP="00911690">
            <w:pPr>
              <w:widowControl/>
              <w:spacing w:after="200" w:line="276" w:lineRule="auto"/>
              <w:contextualSpacing/>
              <w:rPr>
                <w:sz w:val="20"/>
                <w:szCs w:val="20"/>
                <w:lang w:val="en-GB"/>
              </w:rPr>
            </w:pPr>
            <w:r w:rsidRPr="00AD7EBC">
              <w:rPr>
                <w:sz w:val="20"/>
                <w:szCs w:val="20"/>
                <w:lang w:val="en-GB"/>
              </w:rPr>
              <w:t>Bursaries</w:t>
            </w:r>
          </w:p>
        </w:tc>
        <w:tc>
          <w:tcPr>
            <w:tcW w:w="4083" w:type="dxa"/>
          </w:tcPr>
          <w:p w14:paraId="6C526523" w14:textId="0AE42CB2" w:rsidR="008433D9" w:rsidRPr="00AD7EBC" w:rsidRDefault="00F47458" w:rsidP="00911690">
            <w:pPr>
              <w:widowControl/>
              <w:spacing w:after="200" w:line="276" w:lineRule="auto"/>
              <w:contextualSpacing/>
              <w:rPr>
                <w:sz w:val="20"/>
                <w:szCs w:val="20"/>
                <w:lang w:val="en-GB"/>
              </w:rPr>
            </w:pPr>
            <w:r w:rsidRPr="00AD7EBC">
              <w:rPr>
                <w:sz w:val="20"/>
                <w:szCs w:val="20"/>
                <w:lang w:val="en-GB"/>
              </w:rPr>
              <w:t>All girls in selected grade levels in target schools and AEP students</w:t>
            </w:r>
          </w:p>
        </w:tc>
        <w:tc>
          <w:tcPr>
            <w:tcW w:w="1882" w:type="dxa"/>
          </w:tcPr>
          <w:p w14:paraId="2FFEF16B" w14:textId="7577CF39" w:rsidR="008433D9" w:rsidRPr="00AD7EBC" w:rsidRDefault="00427ADA" w:rsidP="00911690">
            <w:pPr>
              <w:widowControl/>
              <w:spacing w:after="200" w:line="276" w:lineRule="auto"/>
              <w:contextualSpacing/>
              <w:rPr>
                <w:sz w:val="20"/>
                <w:szCs w:val="20"/>
                <w:lang w:val="en-GB"/>
              </w:rPr>
            </w:pPr>
            <w:r w:rsidRPr="00AD7EBC">
              <w:rPr>
                <w:sz w:val="20"/>
                <w:szCs w:val="20"/>
                <w:lang w:val="en-GB"/>
              </w:rPr>
              <w:t>TBD</w:t>
            </w:r>
          </w:p>
        </w:tc>
      </w:tr>
      <w:tr w:rsidR="008433D9" w:rsidRPr="00AD7EBC" w14:paraId="6FEB96EE" w14:textId="77777777" w:rsidTr="00011CCB">
        <w:trPr>
          <w:trHeight w:val="304"/>
        </w:trPr>
        <w:tc>
          <w:tcPr>
            <w:tcW w:w="3005" w:type="dxa"/>
          </w:tcPr>
          <w:p w14:paraId="70F79111" w14:textId="43695091" w:rsidR="008433D9" w:rsidRPr="00AD7EBC" w:rsidRDefault="00F47458" w:rsidP="00911690">
            <w:pPr>
              <w:widowControl/>
              <w:spacing w:after="200" w:line="276" w:lineRule="auto"/>
              <w:contextualSpacing/>
              <w:rPr>
                <w:sz w:val="20"/>
                <w:szCs w:val="20"/>
                <w:lang w:val="en-GB"/>
              </w:rPr>
            </w:pPr>
            <w:r w:rsidRPr="00AD7EBC">
              <w:rPr>
                <w:sz w:val="20"/>
                <w:szCs w:val="20"/>
                <w:lang w:val="en-GB"/>
              </w:rPr>
              <w:lastRenderedPageBreak/>
              <w:t xml:space="preserve">Citizen </w:t>
            </w:r>
            <w:r w:rsidR="00897FBF" w:rsidRPr="00AD7EBC">
              <w:rPr>
                <w:sz w:val="20"/>
                <w:szCs w:val="20"/>
                <w:lang w:val="en-GB"/>
              </w:rPr>
              <w:t>V</w:t>
            </w:r>
            <w:r w:rsidRPr="00AD7EBC">
              <w:rPr>
                <w:sz w:val="20"/>
                <w:szCs w:val="20"/>
                <w:lang w:val="en-GB"/>
              </w:rPr>
              <w:t>oice and Action</w:t>
            </w:r>
          </w:p>
        </w:tc>
        <w:tc>
          <w:tcPr>
            <w:tcW w:w="4083" w:type="dxa"/>
          </w:tcPr>
          <w:p w14:paraId="64853122" w14:textId="63738CD7" w:rsidR="008433D9" w:rsidRPr="00AD7EBC" w:rsidRDefault="00F47458" w:rsidP="00911690">
            <w:pPr>
              <w:widowControl/>
              <w:spacing w:after="200" w:line="276" w:lineRule="auto"/>
              <w:contextualSpacing/>
              <w:rPr>
                <w:sz w:val="20"/>
                <w:szCs w:val="20"/>
                <w:lang w:val="en-GB"/>
              </w:rPr>
            </w:pPr>
            <w:r w:rsidRPr="00AD7EBC">
              <w:rPr>
                <w:sz w:val="20"/>
                <w:szCs w:val="20"/>
                <w:lang w:val="en-GB"/>
              </w:rPr>
              <w:t>Groups of parents constituted to cond</w:t>
            </w:r>
            <w:r w:rsidR="005F2391" w:rsidRPr="00AD7EBC">
              <w:rPr>
                <w:sz w:val="20"/>
                <w:szCs w:val="20"/>
                <w:lang w:val="en-GB"/>
              </w:rPr>
              <w:t>uct advocacy within each of the 267 communities</w:t>
            </w:r>
          </w:p>
        </w:tc>
        <w:tc>
          <w:tcPr>
            <w:tcW w:w="1882" w:type="dxa"/>
          </w:tcPr>
          <w:p w14:paraId="64BADE35" w14:textId="4BDE6899" w:rsidR="008433D9" w:rsidRPr="00AD7EBC" w:rsidRDefault="00F47458" w:rsidP="00911690">
            <w:pPr>
              <w:widowControl/>
              <w:spacing w:after="200" w:line="276" w:lineRule="auto"/>
              <w:contextualSpacing/>
              <w:rPr>
                <w:sz w:val="20"/>
                <w:szCs w:val="20"/>
                <w:lang w:val="en-GB"/>
              </w:rPr>
            </w:pPr>
            <w:r w:rsidRPr="00AD7EBC">
              <w:rPr>
                <w:sz w:val="20"/>
                <w:szCs w:val="20"/>
                <w:lang w:val="en-GB"/>
              </w:rPr>
              <w:t>TBD</w:t>
            </w:r>
          </w:p>
        </w:tc>
      </w:tr>
      <w:tr w:rsidR="008433D9" w:rsidRPr="00AD7EBC" w14:paraId="2A9B8E87" w14:textId="77777777" w:rsidTr="00011CCB">
        <w:trPr>
          <w:trHeight w:val="304"/>
        </w:trPr>
        <w:tc>
          <w:tcPr>
            <w:tcW w:w="3005" w:type="dxa"/>
          </w:tcPr>
          <w:p w14:paraId="3C0A1615" w14:textId="2A2D00A2" w:rsidR="008433D9" w:rsidRPr="00AD7EBC" w:rsidRDefault="0052180E" w:rsidP="00911690">
            <w:pPr>
              <w:widowControl/>
              <w:spacing w:after="200" w:line="276" w:lineRule="auto"/>
              <w:contextualSpacing/>
              <w:rPr>
                <w:sz w:val="20"/>
                <w:szCs w:val="20"/>
                <w:lang w:val="en-GB"/>
              </w:rPr>
            </w:pPr>
            <w:r w:rsidRPr="00AD7EBC">
              <w:rPr>
                <w:sz w:val="20"/>
                <w:szCs w:val="20"/>
                <w:lang w:val="en-GB"/>
              </w:rPr>
              <w:t>Financial support to AEP</w:t>
            </w:r>
          </w:p>
        </w:tc>
        <w:tc>
          <w:tcPr>
            <w:tcW w:w="4083" w:type="dxa"/>
          </w:tcPr>
          <w:p w14:paraId="69FDF393" w14:textId="4BAB722B" w:rsidR="008433D9" w:rsidRPr="00AD7EBC" w:rsidRDefault="0052180E" w:rsidP="00911690">
            <w:pPr>
              <w:widowControl/>
              <w:spacing w:after="200" w:line="276" w:lineRule="auto"/>
              <w:contextualSpacing/>
              <w:rPr>
                <w:sz w:val="20"/>
                <w:szCs w:val="20"/>
                <w:lang w:val="en-GB"/>
              </w:rPr>
            </w:pPr>
            <w:r w:rsidRPr="00AD7EBC">
              <w:rPr>
                <w:sz w:val="20"/>
                <w:szCs w:val="20"/>
                <w:lang w:val="en-GB"/>
              </w:rPr>
              <w:t xml:space="preserve">Girls and boys that are out of school and over 12 not eligible for reintegration into formal system. (50% </w:t>
            </w:r>
            <w:proofErr w:type="gramStart"/>
            <w:r w:rsidRPr="00AD7EBC">
              <w:rPr>
                <w:sz w:val="20"/>
                <w:szCs w:val="20"/>
                <w:lang w:val="en-GB"/>
              </w:rPr>
              <w:t>girls</w:t>
            </w:r>
            <w:proofErr w:type="gramEnd"/>
            <w:r w:rsidRPr="00AD7EBC">
              <w:rPr>
                <w:sz w:val="20"/>
                <w:szCs w:val="20"/>
                <w:lang w:val="en-GB"/>
              </w:rPr>
              <w:t xml:space="preserve"> quota to be respected)</w:t>
            </w:r>
          </w:p>
        </w:tc>
        <w:tc>
          <w:tcPr>
            <w:tcW w:w="1882" w:type="dxa"/>
          </w:tcPr>
          <w:p w14:paraId="4E764756" w14:textId="3A44B154" w:rsidR="008433D9" w:rsidRPr="00AD7EBC" w:rsidRDefault="001003D5" w:rsidP="00911690">
            <w:pPr>
              <w:widowControl/>
              <w:spacing w:after="200" w:line="276" w:lineRule="auto"/>
              <w:contextualSpacing/>
              <w:rPr>
                <w:sz w:val="20"/>
                <w:szCs w:val="20"/>
                <w:lang w:val="en-GB"/>
              </w:rPr>
            </w:pPr>
            <w:r w:rsidRPr="00AD7EBC">
              <w:rPr>
                <w:sz w:val="20"/>
                <w:szCs w:val="20"/>
                <w:lang w:val="en-GB"/>
              </w:rPr>
              <w:t>4</w:t>
            </w:r>
            <w:r w:rsidR="00897FBF" w:rsidRPr="00AD7EBC">
              <w:rPr>
                <w:sz w:val="20"/>
                <w:szCs w:val="20"/>
                <w:lang w:val="en-GB"/>
              </w:rPr>
              <w:t>0</w:t>
            </w:r>
            <w:r w:rsidRPr="00AD7EBC">
              <w:rPr>
                <w:sz w:val="20"/>
                <w:szCs w:val="20"/>
                <w:lang w:val="en-GB"/>
              </w:rPr>
              <w:t>00 Children</w:t>
            </w:r>
          </w:p>
        </w:tc>
      </w:tr>
      <w:tr w:rsidR="008433D9" w:rsidRPr="00AD7EBC" w14:paraId="3C373494" w14:textId="77777777" w:rsidTr="00011CCB">
        <w:trPr>
          <w:trHeight w:val="304"/>
        </w:trPr>
        <w:tc>
          <w:tcPr>
            <w:tcW w:w="3005" w:type="dxa"/>
          </w:tcPr>
          <w:p w14:paraId="2CB7942E" w14:textId="7D577800" w:rsidR="008433D9" w:rsidRPr="00AD7EBC" w:rsidRDefault="001003D5" w:rsidP="00911690">
            <w:pPr>
              <w:widowControl/>
              <w:spacing w:after="200" w:line="276" w:lineRule="auto"/>
              <w:contextualSpacing/>
              <w:rPr>
                <w:sz w:val="20"/>
                <w:szCs w:val="20"/>
                <w:lang w:val="en-GB"/>
              </w:rPr>
            </w:pPr>
            <w:r w:rsidRPr="00AD7EBC">
              <w:rPr>
                <w:sz w:val="20"/>
                <w:szCs w:val="20"/>
                <w:lang w:val="en-GB"/>
              </w:rPr>
              <w:t>Savings and loans group</w:t>
            </w:r>
          </w:p>
        </w:tc>
        <w:tc>
          <w:tcPr>
            <w:tcW w:w="4083" w:type="dxa"/>
          </w:tcPr>
          <w:p w14:paraId="19BC78F6" w14:textId="1B9B8FB4" w:rsidR="008433D9" w:rsidRPr="00AD7EBC" w:rsidRDefault="001003D5" w:rsidP="00911690">
            <w:pPr>
              <w:widowControl/>
              <w:spacing w:after="200" w:line="276" w:lineRule="auto"/>
              <w:contextualSpacing/>
              <w:rPr>
                <w:sz w:val="20"/>
                <w:szCs w:val="20"/>
                <w:lang w:val="en-GB"/>
              </w:rPr>
            </w:pPr>
            <w:r w:rsidRPr="00AD7EBC">
              <w:rPr>
                <w:sz w:val="20"/>
                <w:szCs w:val="20"/>
                <w:lang w:val="en-GB"/>
              </w:rPr>
              <w:t>Groups of parents per primary school in a full cohort.  (60% female participants)</w:t>
            </w:r>
          </w:p>
        </w:tc>
        <w:tc>
          <w:tcPr>
            <w:tcW w:w="1882" w:type="dxa"/>
          </w:tcPr>
          <w:p w14:paraId="6E793D72" w14:textId="7853B782" w:rsidR="008433D9" w:rsidRPr="00AD7EBC" w:rsidRDefault="00897FBF" w:rsidP="00911690">
            <w:pPr>
              <w:widowControl/>
              <w:spacing w:after="200" w:line="276" w:lineRule="auto"/>
              <w:contextualSpacing/>
              <w:rPr>
                <w:sz w:val="20"/>
                <w:szCs w:val="20"/>
                <w:lang w:val="en-GB"/>
              </w:rPr>
            </w:pPr>
            <w:r w:rsidRPr="00AD7EBC">
              <w:rPr>
                <w:sz w:val="20"/>
                <w:szCs w:val="20"/>
                <w:lang w:val="en-GB"/>
              </w:rPr>
              <w:t xml:space="preserve">300 </w:t>
            </w:r>
            <w:r w:rsidR="001003D5" w:rsidRPr="00AD7EBC">
              <w:rPr>
                <w:sz w:val="20"/>
                <w:szCs w:val="20"/>
                <w:lang w:val="en-GB"/>
              </w:rPr>
              <w:t>groups TBD</w:t>
            </w:r>
          </w:p>
        </w:tc>
      </w:tr>
    </w:tbl>
    <w:p w14:paraId="780543FF" w14:textId="0FE62C4D" w:rsidR="00040C12" w:rsidRPr="00A729A5" w:rsidRDefault="00040C12" w:rsidP="00A729A5"/>
    <w:p w14:paraId="671E20D2" w14:textId="044555E4" w:rsidR="001003D5" w:rsidRPr="00AD7EBC" w:rsidRDefault="001003D5" w:rsidP="001003D5">
      <w:pPr>
        <w:widowControl/>
        <w:spacing w:after="120" w:line="276" w:lineRule="auto"/>
        <w:ind w:left="142" w:right="309"/>
        <w:contextualSpacing/>
        <w:jc w:val="both"/>
        <w:rPr>
          <w:lang w:val="en-GB"/>
        </w:rPr>
      </w:pPr>
      <w:r w:rsidRPr="00AD7EBC">
        <w:rPr>
          <w:lang w:val="en-GB"/>
        </w:rPr>
        <w:t>This MEL frame</w:t>
      </w:r>
      <w:r w:rsidR="003D0CCF">
        <w:rPr>
          <w:lang w:val="en-GB"/>
        </w:rPr>
        <w:t>work aims to give comprehensive</w:t>
      </w:r>
      <w:r w:rsidRPr="00AD7EBC">
        <w:rPr>
          <w:lang w:val="en-GB"/>
        </w:rPr>
        <w:t xml:space="preserve"> yet practical guidelines to the M&amp;E and learning approach of REALISE to the project staff and to the fund manager (FM). In order to integrate it in the project management strategy and ensure progress throughout the life of the project, the MEL framework sets out to follow several key and overarching principles regarding how to conduct and manage monitoring activities, evaluations, and learning:</w:t>
      </w:r>
    </w:p>
    <w:p w14:paraId="09DDFE0C" w14:textId="77777777" w:rsidR="001003D5" w:rsidRPr="00AD7EBC" w:rsidRDefault="001003D5" w:rsidP="001003D5">
      <w:pPr>
        <w:pStyle w:val="ListParagraph"/>
        <w:widowControl/>
        <w:numPr>
          <w:ilvl w:val="0"/>
          <w:numId w:val="34"/>
        </w:numPr>
        <w:spacing w:after="200" w:line="276" w:lineRule="auto"/>
        <w:ind w:left="426" w:right="309"/>
        <w:contextualSpacing/>
        <w:jc w:val="both"/>
        <w:rPr>
          <w:lang w:val="en-GB"/>
        </w:rPr>
      </w:pPr>
      <w:r w:rsidRPr="00AD7EBC">
        <w:rPr>
          <w:lang w:val="en-GB"/>
        </w:rPr>
        <w:t>The M&amp;E process is an integrated part of project management, and is being valued as a key approach to inform programming, improve and ensure quality of interventions, and generate useful evidence of project’s results and challenges</w:t>
      </w:r>
    </w:p>
    <w:p w14:paraId="2467B919" w14:textId="77777777" w:rsidR="001003D5" w:rsidRPr="00AD7EBC" w:rsidRDefault="001003D5" w:rsidP="001003D5">
      <w:pPr>
        <w:pStyle w:val="ListParagraph"/>
        <w:widowControl/>
        <w:numPr>
          <w:ilvl w:val="0"/>
          <w:numId w:val="34"/>
        </w:numPr>
        <w:spacing w:after="200" w:line="276" w:lineRule="auto"/>
        <w:ind w:left="426" w:right="309"/>
        <w:contextualSpacing/>
        <w:jc w:val="both"/>
        <w:rPr>
          <w:lang w:val="en-GB"/>
        </w:rPr>
      </w:pPr>
      <w:r w:rsidRPr="00AD7EBC">
        <w:rPr>
          <w:lang w:val="en-GB"/>
        </w:rPr>
        <w:t>Monitoring information should be collected both on process and product/service, and monitoring activities should be aligned as much as possible and practical with project activities</w:t>
      </w:r>
    </w:p>
    <w:p w14:paraId="3A34CA66" w14:textId="77777777" w:rsidR="001003D5" w:rsidRPr="00AD7EBC" w:rsidRDefault="001003D5" w:rsidP="001003D5">
      <w:pPr>
        <w:pStyle w:val="ListParagraph"/>
        <w:widowControl/>
        <w:numPr>
          <w:ilvl w:val="0"/>
          <w:numId w:val="34"/>
        </w:numPr>
        <w:spacing w:after="200" w:line="276" w:lineRule="auto"/>
        <w:ind w:left="426" w:right="309"/>
        <w:contextualSpacing/>
        <w:jc w:val="both"/>
        <w:rPr>
          <w:lang w:val="en-GB"/>
        </w:rPr>
      </w:pPr>
      <w:r w:rsidRPr="00AD7EBC">
        <w:rPr>
          <w:lang w:val="en-GB"/>
        </w:rPr>
        <w:t>Simple and clear indicators and targets are set for the project, with a focus on achieving results at intermediate outcome and outcome level</w:t>
      </w:r>
    </w:p>
    <w:p w14:paraId="16458E7D" w14:textId="77777777" w:rsidR="001003D5" w:rsidRPr="00AD7EBC" w:rsidRDefault="001003D5" w:rsidP="001003D5">
      <w:pPr>
        <w:pStyle w:val="ListParagraph"/>
        <w:widowControl/>
        <w:numPr>
          <w:ilvl w:val="0"/>
          <w:numId w:val="34"/>
        </w:numPr>
        <w:spacing w:after="200" w:line="276" w:lineRule="auto"/>
        <w:ind w:left="426" w:right="309"/>
        <w:contextualSpacing/>
        <w:jc w:val="both"/>
        <w:rPr>
          <w:lang w:val="en-GB"/>
        </w:rPr>
      </w:pPr>
      <w:r w:rsidRPr="00AD7EBC">
        <w:rPr>
          <w:lang w:val="en-GB"/>
        </w:rPr>
        <w:t xml:space="preserve">The learning agenda defined for the project is well-structured and planned out, with an increased emphasis on dissemination and sharing of lessons learned, as well as project’s findings with a range of stakeholders. </w:t>
      </w:r>
    </w:p>
    <w:p w14:paraId="3230852E" w14:textId="0C3E3B40" w:rsidR="00040C12" w:rsidRPr="00A729A5" w:rsidRDefault="00A729A5" w:rsidP="00A729A5">
      <w:r>
        <w:rPr>
          <w:lang w:val="en-GB"/>
        </w:rPr>
        <w:softHyphen/>
      </w:r>
    </w:p>
    <w:p w14:paraId="407D94F9" w14:textId="771B043B" w:rsidR="007C7D0F" w:rsidRPr="00AD7EBC" w:rsidRDefault="007C7D0F" w:rsidP="00C21EEA">
      <w:pPr>
        <w:pStyle w:val="Heading2"/>
      </w:pPr>
      <w:bookmarkStart w:id="2" w:name="_Toc506203076"/>
      <w:r w:rsidRPr="00AD7EBC">
        <w:t>Learning from GEC 1</w:t>
      </w:r>
      <w:bookmarkEnd w:id="2"/>
    </w:p>
    <w:p w14:paraId="5CC52369" w14:textId="77777777" w:rsidR="00C84F34" w:rsidRPr="00AD7EBC" w:rsidRDefault="00C84F34" w:rsidP="007C7D0F">
      <w:pPr>
        <w:pStyle w:val="BodyText"/>
        <w:spacing w:before="40" w:line="276" w:lineRule="auto"/>
        <w:ind w:left="100" w:right="117"/>
        <w:jc w:val="both"/>
        <w:rPr>
          <w:i/>
          <w:sz w:val="20"/>
          <w:lang w:val="en-GB"/>
        </w:rPr>
      </w:pPr>
    </w:p>
    <w:p w14:paraId="4412A5C6" w14:textId="1F5F9E09" w:rsidR="00C84F34" w:rsidRPr="00AD7EBC" w:rsidRDefault="00C84F34" w:rsidP="00C84F34">
      <w:pPr>
        <w:pStyle w:val="BodyText"/>
        <w:spacing w:before="40" w:line="276" w:lineRule="auto"/>
        <w:ind w:right="117"/>
        <w:jc w:val="both"/>
        <w:rPr>
          <w:sz w:val="20"/>
          <w:lang w:val="en-GB"/>
        </w:rPr>
      </w:pPr>
      <w:r w:rsidRPr="00AD7EBC">
        <w:rPr>
          <w:sz w:val="20"/>
          <w:lang w:val="en-GB"/>
        </w:rPr>
        <w:t xml:space="preserve">The key </w:t>
      </w:r>
      <w:r w:rsidR="00AD7EBC">
        <w:rPr>
          <w:sz w:val="20"/>
          <w:lang w:val="en-GB"/>
        </w:rPr>
        <w:t>lessons learned from GEC 1 were</w:t>
      </w:r>
      <w:r w:rsidRPr="00AD7EBC">
        <w:rPr>
          <w:sz w:val="20"/>
          <w:lang w:val="en-GB"/>
        </w:rPr>
        <w:t xml:space="preserve">: </w:t>
      </w:r>
    </w:p>
    <w:p w14:paraId="69DF9E5E" w14:textId="393FCC28" w:rsidR="002B6831" w:rsidRPr="00AD7EBC" w:rsidRDefault="002B6831" w:rsidP="00C84F34">
      <w:pPr>
        <w:pStyle w:val="BodyText"/>
        <w:spacing w:before="40" w:line="276" w:lineRule="auto"/>
        <w:ind w:right="117"/>
        <w:jc w:val="both"/>
        <w:rPr>
          <w:sz w:val="20"/>
          <w:lang w:val="en-GB"/>
        </w:rPr>
      </w:pPr>
      <w:r w:rsidRPr="00AD7EBC">
        <w:rPr>
          <w:sz w:val="20"/>
          <w:lang w:val="en-GB"/>
        </w:rPr>
        <w:t xml:space="preserve"> </w:t>
      </w:r>
    </w:p>
    <w:tbl>
      <w:tblPr>
        <w:tblStyle w:val="TableGrid"/>
        <w:tblW w:w="0" w:type="auto"/>
        <w:tblLook w:val="04A0" w:firstRow="1" w:lastRow="0" w:firstColumn="1" w:lastColumn="0" w:noHBand="0" w:noVBand="1"/>
      </w:tblPr>
      <w:tblGrid>
        <w:gridCol w:w="445"/>
        <w:gridCol w:w="4536"/>
        <w:gridCol w:w="4415"/>
      </w:tblGrid>
      <w:tr w:rsidR="00447579" w:rsidRPr="00AD7EBC" w14:paraId="69FC001A" w14:textId="77777777" w:rsidTr="003D0CCF">
        <w:tc>
          <w:tcPr>
            <w:tcW w:w="279" w:type="dxa"/>
            <w:shd w:val="clear" w:color="auto" w:fill="DEEAF6" w:themeFill="accent5" w:themeFillTint="33"/>
            <w:vAlign w:val="center"/>
          </w:tcPr>
          <w:p w14:paraId="5D9E0EA8" w14:textId="77777777" w:rsidR="00447579" w:rsidRPr="00AD7EBC" w:rsidRDefault="00447579" w:rsidP="0071113F">
            <w:pPr>
              <w:pStyle w:val="BodyText"/>
              <w:spacing w:before="40" w:line="276" w:lineRule="auto"/>
              <w:ind w:right="117"/>
              <w:rPr>
                <w:sz w:val="20"/>
                <w:lang w:val="en-GB"/>
              </w:rPr>
            </w:pPr>
          </w:p>
        </w:tc>
        <w:tc>
          <w:tcPr>
            <w:tcW w:w="4536" w:type="dxa"/>
            <w:shd w:val="clear" w:color="auto" w:fill="DEEAF6" w:themeFill="accent5" w:themeFillTint="33"/>
            <w:vAlign w:val="center"/>
          </w:tcPr>
          <w:p w14:paraId="13A53A3F" w14:textId="77777777" w:rsidR="00447579" w:rsidRPr="00AD7EBC" w:rsidRDefault="00447579" w:rsidP="0071113F">
            <w:pPr>
              <w:pStyle w:val="BodyText"/>
              <w:spacing w:before="40" w:line="276" w:lineRule="auto"/>
              <w:ind w:right="117"/>
              <w:rPr>
                <w:b/>
                <w:sz w:val="20"/>
                <w:lang w:val="en-GB"/>
              </w:rPr>
            </w:pPr>
            <w:r w:rsidRPr="00AD7EBC">
              <w:rPr>
                <w:b/>
                <w:sz w:val="20"/>
                <w:lang w:val="en-GB"/>
              </w:rPr>
              <w:t>Lessons learned from GEC1</w:t>
            </w:r>
          </w:p>
        </w:tc>
        <w:tc>
          <w:tcPr>
            <w:tcW w:w="4415" w:type="dxa"/>
            <w:shd w:val="clear" w:color="auto" w:fill="DEEAF6" w:themeFill="accent5" w:themeFillTint="33"/>
            <w:vAlign w:val="center"/>
          </w:tcPr>
          <w:p w14:paraId="44B835FD" w14:textId="77777777" w:rsidR="00447579" w:rsidRPr="00AD7EBC" w:rsidRDefault="00447579" w:rsidP="0071113F">
            <w:pPr>
              <w:pStyle w:val="BodyText"/>
              <w:spacing w:before="40" w:line="276" w:lineRule="auto"/>
              <w:ind w:right="117"/>
              <w:rPr>
                <w:b/>
                <w:sz w:val="20"/>
                <w:lang w:val="en-GB"/>
              </w:rPr>
            </w:pPr>
            <w:r w:rsidRPr="00AD7EBC">
              <w:rPr>
                <w:b/>
                <w:sz w:val="20"/>
                <w:lang w:val="en-GB"/>
              </w:rPr>
              <w:t>Mitigating actions in GEC-T</w:t>
            </w:r>
          </w:p>
        </w:tc>
      </w:tr>
      <w:tr w:rsidR="00447579" w:rsidRPr="00AD7EBC" w14:paraId="6A094691" w14:textId="77777777" w:rsidTr="0071113F">
        <w:tc>
          <w:tcPr>
            <w:tcW w:w="279" w:type="dxa"/>
            <w:vAlign w:val="center"/>
          </w:tcPr>
          <w:p w14:paraId="039CD372" w14:textId="77777777" w:rsidR="00447579" w:rsidRPr="00AD7EBC" w:rsidRDefault="00447579" w:rsidP="0071113F">
            <w:pPr>
              <w:pStyle w:val="BodyText"/>
              <w:spacing w:before="40" w:line="276" w:lineRule="auto"/>
              <w:ind w:right="117"/>
              <w:rPr>
                <w:sz w:val="20"/>
                <w:lang w:val="en-GB"/>
              </w:rPr>
            </w:pPr>
            <w:r w:rsidRPr="00AD7EBC">
              <w:rPr>
                <w:sz w:val="20"/>
                <w:lang w:val="en-GB"/>
              </w:rPr>
              <w:t>1</w:t>
            </w:r>
          </w:p>
        </w:tc>
        <w:tc>
          <w:tcPr>
            <w:tcW w:w="4536" w:type="dxa"/>
            <w:vAlign w:val="center"/>
          </w:tcPr>
          <w:p w14:paraId="32686267" w14:textId="77777777" w:rsidR="00447579" w:rsidRPr="00AD7EBC" w:rsidRDefault="00447579" w:rsidP="0071113F">
            <w:pPr>
              <w:pStyle w:val="BodyText"/>
              <w:spacing w:before="40" w:line="276" w:lineRule="auto"/>
              <w:ind w:right="117"/>
              <w:rPr>
                <w:sz w:val="20"/>
                <w:lang w:val="en-GB"/>
              </w:rPr>
            </w:pPr>
            <w:r w:rsidRPr="00AD7EBC">
              <w:rPr>
                <w:sz w:val="20"/>
                <w:lang w:val="en-GB"/>
              </w:rPr>
              <w:t>Acceptability within control schools to collect data: throughout the project control school were expected to collect attendance data and allow VYF to conduct comparative tests with children however they did not receive any interventions. Being in the same geographic cluster as the intervention school this caused acceptability issues within the community and in some control schools access and data was difficult to obtain.</w:t>
            </w:r>
          </w:p>
        </w:tc>
        <w:tc>
          <w:tcPr>
            <w:tcW w:w="4415" w:type="dxa"/>
            <w:vAlign w:val="center"/>
          </w:tcPr>
          <w:p w14:paraId="6993E6C7" w14:textId="77777777" w:rsidR="00447579" w:rsidRPr="00AD7EBC" w:rsidRDefault="00447579" w:rsidP="0071113F">
            <w:pPr>
              <w:pStyle w:val="BodyText"/>
              <w:spacing w:before="40" w:line="276" w:lineRule="auto"/>
              <w:ind w:right="117"/>
              <w:rPr>
                <w:sz w:val="20"/>
                <w:lang w:val="en-GB"/>
              </w:rPr>
            </w:pPr>
            <w:r w:rsidRPr="00AD7EBC">
              <w:rPr>
                <w:sz w:val="20"/>
                <w:lang w:val="en-GB"/>
              </w:rPr>
              <w:t>To facilitate access and buy-in from control schools, the REALISE team will be providing a minimal package to control schools / communities, which would include a “class kit” and a solar lamp (Little Sun solar lamp). These two elements aren’t considered as intensive activities, nor expected to heavily affect the girls’ learning and transition outcomes in the control schools and communities’ setting.</w:t>
            </w:r>
          </w:p>
        </w:tc>
      </w:tr>
      <w:tr w:rsidR="00447579" w:rsidRPr="00AD7EBC" w14:paraId="39CC2540" w14:textId="77777777" w:rsidTr="0071113F">
        <w:tc>
          <w:tcPr>
            <w:tcW w:w="279" w:type="dxa"/>
            <w:vAlign w:val="center"/>
          </w:tcPr>
          <w:p w14:paraId="00E5268F" w14:textId="77777777" w:rsidR="00447579" w:rsidRPr="00AD7EBC" w:rsidRDefault="00447579" w:rsidP="0071113F">
            <w:pPr>
              <w:pStyle w:val="BodyText"/>
              <w:spacing w:before="40" w:line="276" w:lineRule="auto"/>
              <w:ind w:right="117"/>
              <w:rPr>
                <w:sz w:val="20"/>
                <w:lang w:val="en-GB"/>
              </w:rPr>
            </w:pPr>
            <w:r w:rsidRPr="00AD7EBC">
              <w:rPr>
                <w:sz w:val="20"/>
                <w:lang w:val="en-GB"/>
              </w:rPr>
              <w:t>2</w:t>
            </w:r>
          </w:p>
        </w:tc>
        <w:tc>
          <w:tcPr>
            <w:tcW w:w="4536" w:type="dxa"/>
            <w:vAlign w:val="center"/>
          </w:tcPr>
          <w:p w14:paraId="7204F56B" w14:textId="50473D67" w:rsidR="00447579" w:rsidRPr="00AD7EBC" w:rsidRDefault="00447579" w:rsidP="0071113F">
            <w:pPr>
              <w:pStyle w:val="BodyText"/>
              <w:spacing w:before="40" w:line="276" w:lineRule="auto"/>
              <w:ind w:right="117"/>
              <w:rPr>
                <w:sz w:val="20"/>
                <w:lang w:val="en-GB"/>
              </w:rPr>
            </w:pPr>
            <w:r w:rsidRPr="00AD7EBC">
              <w:rPr>
                <w:sz w:val="20"/>
                <w:lang w:val="en-GB"/>
              </w:rPr>
              <w:t xml:space="preserve">Data in the evaluation was evaluated on the national level, but little tailored specific </w:t>
            </w:r>
            <w:r w:rsidRPr="00AD7EBC">
              <w:rPr>
                <w:sz w:val="20"/>
                <w:lang w:val="en-GB"/>
              </w:rPr>
              <w:lastRenderedPageBreak/>
              <w:t xml:space="preserve">information from provinces was shared or </w:t>
            </w:r>
            <w:r w:rsidR="003D0CCF" w:rsidRPr="00AD7EBC">
              <w:rPr>
                <w:sz w:val="20"/>
                <w:lang w:val="en-GB"/>
              </w:rPr>
              <w:t>analysed</w:t>
            </w:r>
            <w:r w:rsidRPr="00AD7EBC">
              <w:rPr>
                <w:sz w:val="20"/>
                <w:lang w:val="en-GB"/>
              </w:rPr>
              <w:t xml:space="preserve"> contextually, making it difficult to draw pertinent lessons that could be used, as only the top</w:t>
            </w:r>
            <w:r w:rsidR="003D0CCF">
              <w:rPr>
                <w:sz w:val="20"/>
                <w:lang w:val="en-GB"/>
              </w:rPr>
              <w:t>-</w:t>
            </w:r>
            <w:r w:rsidRPr="00AD7EBC">
              <w:rPr>
                <w:sz w:val="20"/>
                <w:lang w:val="en-GB"/>
              </w:rPr>
              <w:t>line efficacy of activities was truly measured.</w:t>
            </w:r>
          </w:p>
        </w:tc>
        <w:tc>
          <w:tcPr>
            <w:tcW w:w="4415" w:type="dxa"/>
            <w:vAlign w:val="center"/>
          </w:tcPr>
          <w:p w14:paraId="4347EFED" w14:textId="3E1222E3" w:rsidR="00447579" w:rsidRPr="00AD7EBC" w:rsidRDefault="00447579" w:rsidP="0071113F">
            <w:pPr>
              <w:pStyle w:val="BodyText"/>
              <w:spacing w:before="40" w:line="276" w:lineRule="auto"/>
              <w:ind w:right="117"/>
              <w:rPr>
                <w:sz w:val="20"/>
                <w:lang w:val="en-GB"/>
              </w:rPr>
            </w:pPr>
            <w:r w:rsidRPr="00AD7EBC">
              <w:rPr>
                <w:sz w:val="20"/>
                <w:lang w:val="en-GB"/>
              </w:rPr>
              <w:lastRenderedPageBreak/>
              <w:t xml:space="preserve">The project will require the contracted external evaluators (EE) to disaggregate all </w:t>
            </w:r>
            <w:r w:rsidRPr="00AD7EBC">
              <w:rPr>
                <w:sz w:val="20"/>
                <w:lang w:val="en-GB"/>
              </w:rPr>
              <w:lastRenderedPageBreak/>
              <w:t>data and analysis by location (among other disaggregation criteria) and draw results to explain findings from a local context perspective, as well as a top</w:t>
            </w:r>
            <w:r w:rsidR="003D0CCF">
              <w:rPr>
                <w:sz w:val="20"/>
                <w:lang w:val="en-GB"/>
              </w:rPr>
              <w:t>-</w:t>
            </w:r>
            <w:r w:rsidRPr="00AD7EBC">
              <w:rPr>
                <w:sz w:val="20"/>
                <w:lang w:val="en-GB"/>
              </w:rPr>
              <w:t xml:space="preserve">line (e.g. national) perspective. </w:t>
            </w:r>
          </w:p>
        </w:tc>
      </w:tr>
      <w:tr w:rsidR="00447579" w:rsidRPr="00AD7EBC" w14:paraId="03B59513" w14:textId="77777777" w:rsidTr="0071113F">
        <w:tc>
          <w:tcPr>
            <w:tcW w:w="279" w:type="dxa"/>
            <w:vAlign w:val="center"/>
          </w:tcPr>
          <w:p w14:paraId="67BDCD08" w14:textId="77777777" w:rsidR="00447579" w:rsidRPr="00AD7EBC" w:rsidRDefault="00447579" w:rsidP="0071113F">
            <w:pPr>
              <w:pStyle w:val="BodyText"/>
              <w:spacing w:before="40" w:line="276" w:lineRule="auto"/>
              <w:ind w:right="117"/>
              <w:rPr>
                <w:sz w:val="20"/>
                <w:lang w:val="en-GB"/>
              </w:rPr>
            </w:pPr>
            <w:r w:rsidRPr="00AD7EBC">
              <w:rPr>
                <w:sz w:val="20"/>
                <w:lang w:val="en-GB"/>
              </w:rPr>
              <w:lastRenderedPageBreak/>
              <w:t>3</w:t>
            </w:r>
          </w:p>
        </w:tc>
        <w:tc>
          <w:tcPr>
            <w:tcW w:w="4536" w:type="dxa"/>
            <w:vAlign w:val="center"/>
          </w:tcPr>
          <w:p w14:paraId="776FA25D" w14:textId="77777777" w:rsidR="00447579" w:rsidRPr="00AD7EBC" w:rsidRDefault="00447579" w:rsidP="0071113F">
            <w:pPr>
              <w:pStyle w:val="BodyText"/>
              <w:spacing w:before="40" w:line="276" w:lineRule="auto"/>
              <w:ind w:right="117"/>
              <w:rPr>
                <w:sz w:val="20"/>
                <w:lang w:val="en-GB"/>
              </w:rPr>
            </w:pPr>
            <w:r w:rsidRPr="00AD7EBC">
              <w:rPr>
                <w:sz w:val="20"/>
                <w:lang w:val="en-GB"/>
              </w:rPr>
              <w:t>A very strong focus on quantitative data make that the qualitative data within the evaluation was not as strong. This was also more significant in not contextualizing the findings per province.</w:t>
            </w:r>
          </w:p>
        </w:tc>
        <w:tc>
          <w:tcPr>
            <w:tcW w:w="4415" w:type="dxa"/>
            <w:vAlign w:val="center"/>
          </w:tcPr>
          <w:p w14:paraId="10B4D0A9" w14:textId="62A06366" w:rsidR="00447579" w:rsidRPr="00AD7EBC" w:rsidRDefault="00447579" w:rsidP="0071113F">
            <w:pPr>
              <w:pStyle w:val="BodyText"/>
              <w:spacing w:before="40" w:line="276" w:lineRule="auto"/>
              <w:ind w:right="117"/>
              <w:rPr>
                <w:sz w:val="20"/>
                <w:lang w:val="en-GB"/>
              </w:rPr>
            </w:pPr>
            <w:r w:rsidRPr="00AD7EBC">
              <w:rPr>
                <w:sz w:val="20"/>
                <w:lang w:val="en-GB"/>
              </w:rPr>
              <w:t xml:space="preserve">An emphasis on a mixed-method evaluation design is a must in GEC-T. The project will ensure that the EE team and areas of competence will </w:t>
            </w:r>
            <w:r w:rsidR="003D0CCF" w:rsidRPr="00AD7EBC">
              <w:rPr>
                <w:sz w:val="20"/>
                <w:lang w:val="en-GB"/>
              </w:rPr>
              <w:t>fulfil</w:t>
            </w:r>
            <w:r w:rsidRPr="00AD7EBC">
              <w:rPr>
                <w:sz w:val="20"/>
                <w:lang w:val="en-GB"/>
              </w:rPr>
              <w:t xml:space="preserve"> the need of using both quantitative and qualitative research to complete the evaluations. </w:t>
            </w:r>
          </w:p>
        </w:tc>
      </w:tr>
      <w:tr w:rsidR="00447579" w:rsidRPr="00AD7EBC" w14:paraId="4B9402E6" w14:textId="77777777" w:rsidTr="0071113F">
        <w:tc>
          <w:tcPr>
            <w:tcW w:w="279" w:type="dxa"/>
            <w:vAlign w:val="center"/>
          </w:tcPr>
          <w:p w14:paraId="6824BDC9" w14:textId="77777777" w:rsidR="00447579" w:rsidRPr="00AD7EBC" w:rsidRDefault="00447579" w:rsidP="0071113F">
            <w:pPr>
              <w:pStyle w:val="BodyText"/>
              <w:spacing w:before="40" w:line="276" w:lineRule="auto"/>
              <w:ind w:right="117"/>
              <w:rPr>
                <w:sz w:val="20"/>
                <w:lang w:val="en-GB"/>
              </w:rPr>
            </w:pPr>
            <w:r w:rsidRPr="00AD7EBC">
              <w:rPr>
                <w:sz w:val="20"/>
                <w:lang w:val="en-GB"/>
              </w:rPr>
              <w:t>4</w:t>
            </w:r>
          </w:p>
        </w:tc>
        <w:tc>
          <w:tcPr>
            <w:tcW w:w="4536" w:type="dxa"/>
            <w:vAlign w:val="center"/>
          </w:tcPr>
          <w:p w14:paraId="6491B796" w14:textId="77777777" w:rsidR="00447579" w:rsidRPr="00AD7EBC" w:rsidRDefault="00447579" w:rsidP="0071113F">
            <w:pPr>
              <w:pStyle w:val="BodyText"/>
              <w:spacing w:before="40" w:line="276" w:lineRule="auto"/>
              <w:ind w:right="117"/>
              <w:rPr>
                <w:sz w:val="20"/>
                <w:lang w:val="en-GB"/>
              </w:rPr>
            </w:pPr>
            <w:r w:rsidRPr="00AD7EBC">
              <w:rPr>
                <w:sz w:val="20"/>
                <w:lang w:val="en-GB"/>
              </w:rPr>
              <w:t>Lack of disaggregation of data into subgroups to establish which girls benefitted most from which interventions, made it difficult to establish which activities impacted which girls most significantly.</w:t>
            </w:r>
          </w:p>
        </w:tc>
        <w:tc>
          <w:tcPr>
            <w:tcW w:w="4415" w:type="dxa"/>
            <w:vAlign w:val="center"/>
          </w:tcPr>
          <w:p w14:paraId="453CE117" w14:textId="77777777" w:rsidR="00447579" w:rsidRPr="00AD7EBC" w:rsidRDefault="00447579" w:rsidP="0071113F">
            <w:pPr>
              <w:pStyle w:val="BodyText"/>
              <w:spacing w:before="40" w:line="276" w:lineRule="auto"/>
              <w:ind w:right="117"/>
              <w:rPr>
                <w:sz w:val="20"/>
                <w:lang w:val="en-GB"/>
              </w:rPr>
            </w:pPr>
            <w:r w:rsidRPr="00AD7EBC">
              <w:rPr>
                <w:sz w:val="20"/>
                <w:lang w:val="en-GB"/>
              </w:rPr>
              <w:t xml:space="preserve">Similar to the above, the project will ensure that the EE meets the requirement of disaggregating all data by subgroups, sex, geography, and disability type.  </w:t>
            </w:r>
          </w:p>
        </w:tc>
      </w:tr>
      <w:tr w:rsidR="00447579" w:rsidRPr="00AD7EBC" w14:paraId="265C4386" w14:textId="77777777" w:rsidTr="0071113F">
        <w:tc>
          <w:tcPr>
            <w:tcW w:w="279" w:type="dxa"/>
            <w:vAlign w:val="center"/>
          </w:tcPr>
          <w:p w14:paraId="08401FB4" w14:textId="77777777" w:rsidR="00447579" w:rsidRPr="00AD7EBC" w:rsidRDefault="00447579" w:rsidP="0071113F">
            <w:pPr>
              <w:pStyle w:val="BodyText"/>
              <w:spacing w:before="40" w:line="276" w:lineRule="auto"/>
              <w:ind w:right="117"/>
              <w:rPr>
                <w:sz w:val="20"/>
                <w:lang w:val="en-GB"/>
              </w:rPr>
            </w:pPr>
            <w:r w:rsidRPr="00AD7EBC">
              <w:rPr>
                <w:sz w:val="20"/>
                <w:lang w:val="en-GB"/>
              </w:rPr>
              <w:t>5</w:t>
            </w:r>
          </w:p>
        </w:tc>
        <w:tc>
          <w:tcPr>
            <w:tcW w:w="4536" w:type="dxa"/>
            <w:vAlign w:val="center"/>
          </w:tcPr>
          <w:p w14:paraId="1F0CF051" w14:textId="77777777" w:rsidR="00447579" w:rsidRPr="00AD7EBC" w:rsidRDefault="00447579" w:rsidP="0071113F">
            <w:pPr>
              <w:pStyle w:val="BodyText"/>
              <w:spacing w:before="40" w:line="276" w:lineRule="auto"/>
              <w:ind w:right="117"/>
              <w:rPr>
                <w:sz w:val="20"/>
                <w:lang w:val="en-GB"/>
              </w:rPr>
            </w:pPr>
            <w:r w:rsidRPr="00AD7EBC">
              <w:rPr>
                <w:sz w:val="20"/>
                <w:lang w:val="en-GB"/>
              </w:rPr>
              <w:t>Obtaining conclusive evidence of impact of certain community level activities was difficult as much of the analyses was focused on the EGRA and EGMA components to establish learning outcomes improvements in schools. It is essential to capture more extensive data to assess community change in behaviours,</w:t>
            </w:r>
          </w:p>
        </w:tc>
        <w:tc>
          <w:tcPr>
            <w:tcW w:w="4415" w:type="dxa"/>
            <w:vAlign w:val="center"/>
          </w:tcPr>
          <w:p w14:paraId="4E6C288B" w14:textId="7F3A5076" w:rsidR="00447579" w:rsidRPr="00AD7EBC" w:rsidRDefault="00447579" w:rsidP="0071113F">
            <w:pPr>
              <w:pStyle w:val="BodyText"/>
              <w:spacing w:before="40" w:line="276" w:lineRule="auto"/>
              <w:ind w:right="117"/>
              <w:rPr>
                <w:sz w:val="20"/>
                <w:lang w:val="en-GB"/>
              </w:rPr>
            </w:pPr>
            <w:r w:rsidRPr="00AD7EBC">
              <w:rPr>
                <w:sz w:val="20"/>
                <w:lang w:val="en-GB"/>
              </w:rPr>
              <w:t>The emphasis of a mixed-method evaluatio</w:t>
            </w:r>
            <w:r w:rsidR="00AD7EBC">
              <w:rPr>
                <w:sz w:val="20"/>
                <w:lang w:val="en-GB"/>
              </w:rPr>
              <w:t>n will address this shortcoming</w:t>
            </w:r>
            <w:r w:rsidRPr="00AD7EBC">
              <w:rPr>
                <w:sz w:val="20"/>
                <w:lang w:val="en-GB"/>
              </w:rPr>
              <w:t xml:space="preserve"> and gather more data and insights into community behavio</w:t>
            </w:r>
            <w:r w:rsidR="00AD7EBC">
              <w:rPr>
                <w:sz w:val="20"/>
                <w:lang w:val="en-GB"/>
              </w:rPr>
              <w:t>u</w:t>
            </w:r>
            <w:r w:rsidRPr="00AD7EBC">
              <w:rPr>
                <w:sz w:val="20"/>
                <w:lang w:val="en-GB"/>
              </w:rPr>
              <w:t xml:space="preserve">r change and attitudes. </w:t>
            </w:r>
          </w:p>
        </w:tc>
      </w:tr>
      <w:tr w:rsidR="00447579" w:rsidRPr="00AD7EBC" w14:paraId="1FCD55DB" w14:textId="77777777" w:rsidTr="0071113F">
        <w:tc>
          <w:tcPr>
            <w:tcW w:w="279" w:type="dxa"/>
            <w:vAlign w:val="center"/>
          </w:tcPr>
          <w:p w14:paraId="3C973C27" w14:textId="77777777" w:rsidR="00447579" w:rsidRPr="00AD7EBC" w:rsidRDefault="00447579" w:rsidP="0071113F">
            <w:pPr>
              <w:pStyle w:val="BodyText"/>
              <w:spacing w:before="40" w:line="276" w:lineRule="auto"/>
              <w:ind w:right="117"/>
              <w:rPr>
                <w:sz w:val="20"/>
                <w:lang w:val="en-GB"/>
              </w:rPr>
            </w:pPr>
            <w:r w:rsidRPr="00AD7EBC">
              <w:rPr>
                <w:sz w:val="20"/>
                <w:lang w:val="en-GB"/>
              </w:rPr>
              <w:t>6</w:t>
            </w:r>
          </w:p>
        </w:tc>
        <w:tc>
          <w:tcPr>
            <w:tcW w:w="4536" w:type="dxa"/>
            <w:vAlign w:val="center"/>
          </w:tcPr>
          <w:p w14:paraId="10EB8128" w14:textId="77777777" w:rsidR="00447579" w:rsidRPr="00AD7EBC" w:rsidRDefault="00447579" w:rsidP="0071113F">
            <w:pPr>
              <w:pStyle w:val="BodyText"/>
              <w:spacing w:before="40" w:line="276" w:lineRule="auto"/>
              <w:ind w:right="117"/>
              <w:rPr>
                <w:sz w:val="20"/>
                <w:lang w:val="en-GB"/>
              </w:rPr>
            </w:pPr>
            <w:r w:rsidRPr="00AD7EBC">
              <w:rPr>
                <w:sz w:val="20"/>
                <w:lang w:val="en-GB"/>
              </w:rPr>
              <w:t>The previous evaluations were conflict blind meaning that certain elements such as influx of IDPs into an intervention school would not be captured meaning that skewed results from that school would not be consistent with other schools and may not be excluded.</w:t>
            </w:r>
          </w:p>
        </w:tc>
        <w:tc>
          <w:tcPr>
            <w:tcW w:w="4415" w:type="dxa"/>
            <w:vAlign w:val="center"/>
          </w:tcPr>
          <w:p w14:paraId="35C69EF8" w14:textId="77777777" w:rsidR="00447579" w:rsidRPr="00AD7EBC" w:rsidRDefault="00447579" w:rsidP="0071113F">
            <w:pPr>
              <w:pStyle w:val="BodyText"/>
              <w:spacing w:before="40" w:line="276" w:lineRule="auto"/>
              <w:ind w:right="117"/>
              <w:rPr>
                <w:sz w:val="20"/>
                <w:lang w:val="en-GB"/>
              </w:rPr>
            </w:pPr>
            <w:r w:rsidRPr="00AD7EBC">
              <w:rPr>
                <w:sz w:val="20"/>
                <w:lang w:val="en-GB"/>
              </w:rPr>
              <w:t xml:space="preserve">From the very beginning, the project has emphasized to the Fund Manager (FM), the donor (DFID) and all its partners that the next phase of the project will operate in conflict-affected provinces, whether it’s acute or ongoing. Therefore, all interventions and evaluations need to be designed and implemented that are at least conflict-sensitive, if not conflict-responsive. </w:t>
            </w:r>
          </w:p>
        </w:tc>
      </w:tr>
    </w:tbl>
    <w:p w14:paraId="3D7A3F79" w14:textId="77777777" w:rsidR="00B72D81" w:rsidRPr="00AD7EBC" w:rsidRDefault="00B72D81" w:rsidP="00C84F34">
      <w:pPr>
        <w:pStyle w:val="BodyText"/>
        <w:spacing w:before="40" w:line="276" w:lineRule="auto"/>
        <w:ind w:right="117"/>
        <w:jc w:val="both"/>
        <w:rPr>
          <w:sz w:val="20"/>
          <w:lang w:val="en-GB"/>
        </w:rPr>
      </w:pPr>
    </w:p>
    <w:p w14:paraId="013BCB6D" w14:textId="1D875FB4" w:rsidR="00225720" w:rsidRDefault="00225720">
      <w:pPr>
        <w:widowControl/>
        <w:spacing w:after="160" w:line="259" w:lineRule="auto"/>
        <w:rPr>
          <w:sz w:val="20"/>
          <w:lang w:val="en-GB"/>
        </w:rPr>
      </w:pPr>
      <w:r>
        <w:rPr>
          <w:sz w:val="20"/>
          <w:lang w:val="en-GB"/>
        </w:rPr>
        <w:br w:type="page"/>
      </w:r>
    </w:p>
    <w:p w14:paraId="2A02BC44" w14:textId="7B2DB57A" w:rsidR="007C7D0F" w:rsidRPr="00AD7EBC" w:rsidRDefault="007C7D0F" w:rsidP="00C21EEA">
      <w:pPr>
        <w:pStyle w:val="Heading2"/>
        <w:rPr>
          <w:sz w:val="21"/>
        </w:rPr>
      </w:pPr>
      <w:bookmarkStart w:id="3" w:name="_Toc506203077"/>
      <w:r w:rsidRPr="00AD7EBC">
        <w:lastRenderedPageBreak/>
        <w:t>Monitoring</w:t>
      </w:r>
      <w:bookmarkEnd w:id="3"/>
      <w:r w:rsidRPr="00AD7EBC">
        <w:t xml:space="preserve"> </w:t>
      </w:r>
    </w:p>
    <w:p w14:paraId="6CA4ED9B" w14:textId="77777777" w:rsidR="00E653A4" w:rsidRPr="00AD7EBC" w:rsidRDefault="00E653A4" w:rsidP="007C7D0F">
      <w:pPr>
        <w:ind w:left="100"/>
        <w:jc w:val="both"/>
        <w:rPr>
          <w:lang w:val="en-GB"/>
        </w:rPr>
      </w:pPr>
    </w:p>
    <w:p w14:paraId="45FD49E1" w14:textId="69549354" w:rsidR="007C7D0F" w:rsidRPr="00AD7EBC" w:rsidRDefault="007C7D0F" w:rsidP="00011402">
      <w:pPr>
        <w:ind w:left="100"/>
        <w:jc w:val="both"/>
        <w:outlineLvl w:val="0"/>
        <w:rPr>
          <w:i/>
          <w:lang w:val="en-GB"/>
        </w:rPr>
      </w:pPr>
      <w:r w:rsidRPr="00AD7EBC">
        <w:rPr>
          <w:i/>
          <w:lang w:val="en-GB"/>
        </w:rPr>
        <w:t>Table 1: Outputs for measurement</w:t>
      </w:r>
    </w:p>
    <w:p w14:paraId="3DBD5C26" w14:textId="2397F7D7" w:rsidR="0042459F" w:rsidRPr="00AD7EBC" w:rsidRDefault="0042459F" w:rsidP="007C7D0F">
      <w:pPr>
        <w:jc w:val="both"/>
        <w:rPr>
          <w:lang w:val="en-GB"/>
        </w:rPr>
      </w:pPr>
    </w:p>
    <w:tbl>
      <w:tblPr>
        <w:tblW w:w="939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1417"/>
        <w:gridCol w:w="2127"/>
        <w:gridCol w:w="2268"/>
        <w:gridCol w:w="1701"/>
      </w:tblGrid>
      <w:tr w:rsidR="0042459F" w:rsidRPr="00AD7EBC" w14:paraId="1A5C946B" w14:textId="77777777" w:rsidTr="003D0CCF">
        <w:trPr>
          <w:trHeight w:hRule="exact" w:val="1441"/>
          <w:tblHeader/>
        </w:trPr>
        <w:tc>
          <w:tcPr>
            <w:tcW w:w="1880" w:type="dxa"/>
            <w:shd w:val="clear" w:color="auto" w:fill="DEEAF6" w:themeFill="accent5" w:themeFillTint="33"/>
          </w:tcPr>
          <w:p w14:paraId="43E8E54F" w14:textId="77777777" w:rsidR="0042459F" w:rsidRPr="00AD7EBC" w:rsidRDefault="0042459F" w:rsidP="0042459F">
            <w:pPr>
              <w:pStyle w:val="TableParagraph"/>
              <w:spacing w:line="249" w:lineRule="exact"/>
              <w:ind w:right="581"/>
              <w:rPr>
                <w:b/>
                <w:sz w:val="20"/>
                <w:szCs w:val="20"/>
                <w:lang w:val="en-GB"/>
              </w:rPr>
            </w:pPr>
            <w:r w:rsidRPr="00AD7EBC">
              <w:rPr>
                <w:b/>
                <w:sz w:val="20"/>
                <w:szCs w:val="20"/>
                <w:lang w:val="en-GB"/>
              </w:rPr>
              <w:t>Output</w:t>
            </w:r>
          </w:p>
        </w:tc>
        <w:tc>
          <w:tcPr>
            <w:tcW w:w="1417" w:type="dxa"/>
            <w:shd w:val="clear" w:color="auto" w:fill="DEEAF6" w:themeFill="accent5" w:themeFillTint="33"/>
          </w:tcPr>
          <w:p w14:paraId="392693D3" w14:textId="47D1A27E" w:rsidR="0042459F" w:rsidRPr="00AD7EBC" w:rsidRDefault="0042459F" w:rsidP="00595F39">
            <w:pPr>
              <w:pStyle w:val="TableParagraph"/>
              <w:spacing w:line="276" w:lineRule="auto"/>
              <w:ind w:right="285"/>
              <w:rPr>
                <w:b/>
                <w:sz w:val="20"/>
                <w:szCs w:val="20"/>
                <w:lang w:val="en-GB"/>
              </w:rPr>
            </w:pPr>
            <w:r w:rsidRPr="00AD7EBC">
              <w:rPr>
                <w:b/>
                <w:sz w:val="20"/>
                <w:szCs w:val="20"/>
                <w:lang w:val="en-GB"/>
              </w:rPr>
              <w:t>Level at which measuremen</w:t>
            </w:r>
            <w:r w:rsidR="00595F39" w:rsidRPr="00AD7EBC">
              <w:rPr>
                <w:b/>
                <w:sz w:val="20"/>
                <w:szCs w:val="20"/>
                <w:lang w:val="en-GB"/>
              </w:rPr>
              <w:t>t will take place</w:t>
            </w:r>
          </w:p>
        </w:tc>
        <w:tc>
          <w:tcPr>
            <w:tcW w:w="2127" w:type="dxa"/>
            <w:shd w:val="clear" w:color="auto" w:fill="DEEAF6" w:themeFill="accent5" w:themeFillTint="33"/>
          </w:tcPr>
          <w:p w14:paraId="1801E3B1" w14:textId="77777777" w:rsidR="0042459F" w:rsidRPr="00AD7EBC" w:rsidRDefault="0042459F" w:rsidP="0042459F">
            <w:pPr>
              <w:pStyle w:val="TableParagraph"/>
              <w:spacing w:line="276" w:lineRule="auto"/>
              <w:ind w:right="170"/>
              <w:rPr>
                <w:b/>
                <w:sz w:val="20"/>
                <w:szCs w:val="20"/>
                <w:lang w:val="en-GB"/>
              </w:rPr>
            </w:pPr>
            <w:r w:rsidRPr="00AD7EBC">
              <w:rPr>
                <w:b/>
                <w:sz w:val="20"/>
                <w:szCs w:val="20"/>
                <w:lang w:val="en-GB"/>
              </w:rPr>
              <w:t>Tool and mode of data collection</w:t>
            </w:r>
          </w:p>
        </w:tc>
        <w:tc>
          <w:tcPr>
            <w:tcW w:w="2268" w:type="dxa"/>
            <w:shd w:val="clear" w:color="auto" w:fill="DEEAF6" w:themeFill="accent5" w:themeFillTint="33"/>
          </w:tcPr>
          <w:p w14:paraId="1B88AF35" w14:textId="77777777" w:rsidR="0042459F" w:rsidRPr="00AD7EBC" w:rsidRDefault="0042459F" w:rsidP="0042459F">
            <w:pPr>
              <w:pStyle w:val="TableParagraph"/>
              <w:spacing w:line="276" w:lineRule="auto"/>
              <w:ind w:right="233"/>
              <w:rPr>
                <w:b/>
                <w:i/>
                <w:sz w:val="20"/>
                <w:szCs w:val="20"/>
                <w:lang w:val="en-GB"/>
              </w:rPr>
            </w:pPr>
            <w:r w:rsidRPr="00AD7EBC">
              <w:rPr>
                <w:b/>
                <w:sz w:val="20"/>
                <w:szCs w:val="20"/>
                <w:lang w:val="en-GB"/>
              </w:rPr>
              <w:t xml:space="preserve">Rationale, </w:t>
            </w:r>
            <w:r w:rsidRPr="00AD7EBC">
              <w:rPr>
                <w:b/>
                <w:i/>
                <w:sz w:val="20"/>
                <w:szCs w:val="20"/>
                <w:lang w:val="en-GB"/>
              </w:rPr>
              <w:t>i.e. why is this the most appropriate approach for this output</w:t>
            </w:r>
          </w:p>
        </w:tc>
        <w:tc>
          <w:tcPr>
            <w:tcW w:w="1701" w:type="dxa"/>
            <w:shd w:val="clear" w:color="auto" w:fill="DEEAF6" w:themeFill="accent5" w:themeFillTint="33"/>
          </w:tcPr>
          <w:p w14:paraId="65B636AE" w14:textId="5567BCDB" w:rsidR="0042459F" w:rsidRPr="00AD7EBC" w:rsidRDefault="0042459F" w:rsidP="0042459F">
            <w:pPr>
              <w:pStyle w:val="TableParagraph"/>
              <w:spacing w:line="276" w:lineRule="auto"/>
              <w:ind w:right="120"/>
              <w:rPr>
                <w:b/>
                <w:i/>
                <w:sz w:val="20"/>
                <w:szCs w:val="20"/>
                <w:lang w:val="en-GB"/>
              </w:rPr>
            </w:pPr>
            <w:r w:rsidRPr="00AD7EBC">
              <w:rPr>
                <w:b/>
                <w:sz w:val="20"/>
                <w:szCs w:val="20"/>
                <w:lang w:val="en-GB"/>
              </w:rPr>
              <w:t>Frequency of data collection</w:t>
            </w:r>
          </w:p>
        </w:tc>
      </w:tr>
      <w:tr w:rsidR="0042459F" w:rsidRPr="00AD7EBC" w14:paraId="5DEEE9D7" w14:textId="77777777" w:rsidTr="0071113F">
        <w:trPr>
          <w:trHeight w:hRule="exact" w:val="4405"/>
        </w:trPr>
        <w:tc>
          <w:tcPr>
            <w:tcW w:w="1880" w:type="dxa"/>
          </w:tcPr>
          <w:p w14:paraId="6CB6933A" w14:textId="77777777" w:rsidR="0042459F" w:rsidRPr="00AD7EBC" w:rsidRDefault="0042459F" w:rsidP="0042459F">
            <w:pPr>
              <w:pStyle w:val="TableParagraph"/>
              <w:ind w:right="581"/>
              <w:rPr>
                <w:sz w:val="20"/>
                <w:szCs w:val="20"/>
                <w:lang w:val="en-GB"/>
              </w:rPr>
            </w:pPr>
            <w:r w:rsidRPr="00AD7EBC">
              <w:rPr>
                <w:sz w:val="20"/>
                <w:szCs w:val="20"/>
                <w:lang w:val="en-GB"/>
              </w:rPr>
              <w:t>Output 1.1</w:t>
            </w:r>
          </w:p>
          <w:p w14:paraId="333B076A" w14:textId="77777777" w:rsidR="0042459F" w:rsidRPr="00AD7EBC" w:rsidRDefault="0042459F" w:rsidP="0042459F">
            <w:pPr>
              <w:pStyle w:val="TableParagraph"/>
              <w:ind w:right="581"/>
              <w:rPr>
                <w:sz w:val="20"/>
                <w:szCs w:val="20"/>
                <w:lang w:val="en-GB"/>
              </w:rPr>
            </w:pPr>
            <w:r w:rsidRPr="00AD7EBC">
              <w:rPr>
                <w:sz w:val="20"/>
                <w:szCs w:val="20"/>
                <w:lang w:val="en-GB"/>
              </w:rPr>
              <w:t>Proportion of teachers who demonstrate the use of multiple methods for teaching literacy and numeracy in the classroom</w:t>
            </w:r>
          </w:p>
        </w:tc>
        <w:tc>
          <w:tcPr>
            <w:tcW w:w="1417" w:type="dxa"/>
          </w:tcPr>
          <w:p w14:paraId="7A984459" w14:textId="4A311A34" w:rsidR="0042459F" w:rsidRPr="00AD7EBC" w:rsidRDefault="00CC2191" w:rsidP="00CC2191">
            <w:pPr>
              <w:ind w:left="135"/>
              <w:rPr>
                <w:sz w:val="20"/>
                <w:szCs w:val="20"/>
                <w:lang w:val="en-GB"/>
              </w:rPr>
            </w:pPr>
            <w:r w:rsidRPr="00AD7EBC">
              <w:rPr>
                <w:sz w:val="20"/>
                <w:szCs w:val="20"/>
                <w:lang w:val="en-GB"/>
              </w:rPr>
              <w:t>Schools</w:t>
            </w:r>
          </w:p>
          <w:p w14:paraId="3E82F82D" w14:textId="77777777" w:rsidR="0042459F" w:rsidRPr="00AD7EBC" w:rsidRDefault="0042459F" w:rsidP="00CC2191">
            <w:pPr>
              <w:ind w:left="135"/>
              <w:rPr>
                <w:sz w:val="20"/>
                <w:szCs w:val="20"/>
                <w:lang w:val="en-GB"/>
              </w:rPr>
            </w:pPr>
          </w:p>
          <w:p w14:paraId="4177BB47" w14:textId="77777777" w:rsidR="0042459F" w:rsidRPr="00AD7EBC" w:rsidRDefault="0042459F" w:rsidP="00CC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
              <w:rPr>
                <w:sz w:val="20"/>
                <w:szCs w:val="20"/>
                <w:lang w:val="en-GB"/>
              </w:rPr>
            </w:pPr>
          </w:p>
        </w:tc>
        <w:tc>
          <w:tcPr>
            <w:tcW w:w="2127" w:type="dxa"/>
          </w:tcPr>
          <w:p w14:paraId="3E668A61" w14:textId="6E47C0B8" w:rsidR="0042459F" w:rsidRPr="00AD7EBC" w:rsidRDefault="0058786D" w:rsidP="00CC2191">
            <w:pPr>
              <w:ind w:left="135"/>
              <w:rPr>
                <w:color w:val="000000"/>
                <w:sz w:val="20"/>
                <w:szCs w:val="20"/>
                <w:lang w:val="en-GB"/>
              </w:rPr>
            </w:pPr>
            <w:r w:rsidRPr="00AD7EBC">
              <w:rPr>
                <w:color w:val="000000"/>
                <w:sz w:val="20"/>
                <w:szCs w:val="20"/>
                <w:lang w:val="en-GB"/>
              </w:rPr>
              <w:t>Classroom observation tools, in person by field o</w:t>
            </w:r>
            <w:r w:rsidR="0042459F" w:rsidRPr="00AD7EBC">
              <w:rPr>
                <w:color w:val="000000"/>
                <w:sz w:val="20"/>
                <w:szCs w:val="20"/>
                <w:lang w:val="en-GB"/>
              </w:rPr>
              <w:t>fficer</w:t>
            </w:r>
            <w:r w:rsidR="00F06710" w:rsidRPr="00AD7EBC">
              <w:rPr>
                <w:color w:val="000000"/>
                <w:sz w:val="20"/>
                <w:szCs w:val="20"/>
                <w:lang w:val="en-GB"/>
              </w:rPr>
              <w:t>s and</w:t>
            </w:r>
            <w:r w:rsidR="0042459F" w:rsidRPr="00AD7EBC">
              <w:rPr>
                <w:color w:val="000000"/>
                <w:sz w:val="20"/>
                <w:szCs w:val="20"/>
                <w:lang w:val="en-GB"/>
              </w:rPr>
              <w:t xml:space="preserve"> EPSP (</w:t>
            </w:r>
            <w:r w:rsidRPr="00AD7EBC">
              <w:rPr>
                <w:color w:val="000000"/>
                <w:sz w:val="20"/>
                <w:szCs w:val="20"/>
                <w:lang w:val="en-GB"/>
              </w:rPr>
              <w:t xml:space="preserve">education </w:t>
            </w:r>
            <w:r w:rsidR="0042459F" w:rsidRPr="00AD7EBC">
              <w:rPr>
                <w:color w:val="000000"/>
                <w:sz w:val="20"/>
                <w:szCs w:val="20"/>
                <w:lang w:val="en-GB"/>
              </w:rPr>
              <w:t>inspect</w:t>
            </w:r>
            <w:r w:rsidRPr="00AD7EBC">
              <w:rPr>
                <w:color w:val="000000"/>
                <w:sz w:val="20"/>
                <w:szCs w:val="20"/>
                <w:lang w:val="en-GB"/>
              </w:rPr>
              <w:t>ors</w:t>
            </w:r>
            <w:r w:rsidR="0042459F" w:rsidRPr="00AD7EBC">
              <w:rPr>
                <w:color w:val="000000"/>
                <w:sz w:val="20"/>
                <w:szCs w:val="20"/>
                <w:lang w:val="en-GB"/>
              </w:rPr>
              <w:t>)</w:t>
            </w:r>
          </w:p>
          <w:p w14:paraId="2968663E" w14:textId="77777777" w:rsidR="0042459F" w:rsidRDefault="0042459F" w:rsidP="00CC2191">
            <w:pPr>
              <w:ind w:left="135"/>
              <w:rPr>
                <w:color w:val="000000"/>
                <w:sz w:val="20"/>
                <w:szCs w:val="20"/>
                <w:lang w:val="en-GB"/>
              </w:rPr>
            </w:pPr>
          </w:p>
          <w:p w14:paraId="7ED78A8B" w14:textId="15BECE66" w:rsidR="00BF2408" w:rsidRPr="00AD7EBC" w:rsidRDefault="00BF2408" w:rsidP="00CC2191">
            <w:pPr>
              <w:ind w:left="135"/>
              <w:rPr>
                <w:color w:val="000000"/>
                <w:sz w:val="20"/>
                <w:szCs w:val="20"/>
                <w:lang w:val="en-GB"/>
              </w:rPr>
            </w:pPr>
            <w:r>
              <w:rPr>
                <w:color w:val="000000"/>
                <w:sz w:val="20"/>
                <w:szCs w:val="20"/>
                <w:lang w:val="en-GB"/>
              </w:rPr>
              <w:t xml:space="preserve">Will include monitoring of </w:t>
            </w:r>
            <w:r w:rsidR="00773450">
              <w:rPr>
                <w:color w:val="000000"/>
                <w:sz w:val="20"/>
                <w:szCs w:val="20"/>
                <w:lang w:val="en-GB"/>
              </w:rPr>
              <w:t xml:space="preserve">different experiences of girls and boys (e.g. how often </w:t>
            </w:r>
            <w:proofErr w:type="gramStart"/>
            <w:r w:rsidR="00773450">
              <w:rPr>
                <w:color w:val="000000"/>
                <w:sz w:val="20"/>
                <w:szCs w:val="20"/>
                <w:lang w:val="en-GB"/>
              </w:rPr>
              <w:t>girls</w:t>
            </w:r>
            <w:proofErr w:type="gramEnd"/>
            <w:r w:rsidR="00773450">
              <w:rPr>
                <w:color w:val="000000"/>
                <w:sz w:val="20"/>
                <w:szCs w:val="20"/>
                <w:lang w:val="en-GB"/>
              </w:rPr>
              <w:t xml:space="preserve"> vs boys are asked questions, how the teacher moves around the room)</w:t>
            </w:r>
          </w:p>
        </w:tc>
        <w:tc>
          <w:tcPr>
            <w:tcW w:w="2268" w:type="dxa"/>
          </w:tcPr>
          <w:p w14:paraId="5D8704A4" w14:textId="2B2C706B" w:rsidR="0058786D" w:rsidRPr="00AD7EBC" w:rsidRDefault="0058786D" w:rsidP="00CC2191">
            <w:pPr>
              <w:ind w:left="135"/>
              <w:rPr>
                <w:color w:val="000000"/>
                <w:sz w:val="20"/>
                <w:szCs w:val="20"/>
                <w:lang w:val="en-GB"/>
              </w:rPr>
            </w:pPr>
            <w:r w:rsidRPr="00AD7EBC">
              <w:rPr>
                <w:color w:val="000000"/>
                <w:sz w:val="20"/>
                <w:szCs w:val="20"/>
                <w:lang w:val="en-GB"/>
              </w:rPr>
              <w:t>This method will allow EPSP and field staff to directly observe how teachers give their lesson in the classroom</w:t>
            </w:r>
            <w:r w:rsidR="007E25A4" w:rsidRPr="00AD7EBC">
              <w:rPr>
                <w:color w:val="000000"/>
                <w:sz w:val="20"/>
                <w:szCs w:val="20"/>
                <w:lang w:val="en-GB"/>
              </w:rPr>
              <w:t xml:space="preserve"> and assess their teaching methods</w:t>
            </w:r>
            <w:r w:rsidR="00447579" w:rsidRPr="00AD7EBC">
              <w:rPr>
                <w:color w:val="000000"/>
                <w:sz w:val="20"/>
                <w:szCs w:val="20"/>
                <w:lang w:val="en-GB"/>
              </w:rPr>
              <w:t xml:space="preserve">. </w:t>
            </w:r>
          </w:p>
          <w:p w14:paraId="62E18346" w14:textId="7FD48D2D" w:rsidR="00447579" w:rsidRPr="00AD7EBC" w:rsidRDefault="00447579" w:rsidP="00CC2191">
            <w:pPr>
              <w:ind w:left="135"/>
              <w:rPr>
                <w:color w:val="000000"/>
                <w:sz w:val="20"/>
                <w:szCs w:val="20"/>
                <w:lang w:val="en-GB"/>
              </w:rPr>
            </w:pPr>
          </w:p>
          <w:p w14:paraId="5EB0603D" w14:textId="2E525DCD" w:rsidR="00447579" w:rsidRPr="00AD7EBC" w:rsidRDefault="00447579" w:rsidP="00447579">
            <w:pPr>
              <w:ind w:left="135"/>
              <w:rPr>
                <w:color w:val="000000"/>
                <w:sz w:val="20"/>
                <w:szCs w:val="20"/>
                <w:lang w:val="en-GB"/>
              </w:rPr>
            </w:pPr>
            <w:r w:rsidRPr="00AD7EBC">
              <w:rPr>
                <w:color w:val="000000"/>
                <w:sz w:val="20"/>
                <w:szCs w:val="20"/>
                <w:lang w:val="en-GB"/>
              </w:rPr>
              <w:t xml:space="preserve">The data collected will be analysed by the project staff and used during project meetings to show trends, discuss remedial measures if necessary to enable adaptive management throughout the life of the project. </w:t>
            </w:r>
          </w:p>
          <w:p w14:paraId="409C33AA" w14:textId="77777777" w:rsidR="0042459F" w:rsidRPr="00AD7EBC" w:rsidRDefault="0042459F" w:rsidP="00447579">
            <w:pPr>
              <w:ind w:left="135"/>
              <w:rPr>
                <w:color w:val="000000"/>
                <w:sz w:val="20"/>
                <w:szCs w:val="20"/>
                <w:lang w:val="en-GB"/>
              </w:rPr>
            </w:pPr>
          </w:p>
        </w:tc>
        <w:tc>
          <w:tcPr>
            <w:tcW w:w="1701" w:type="dxa"/>
          </w:tcPr>
          <w:p w14:paraId="4376D3DA" w14:textId="11337EA8" w:rsidR="0042459F" w:rsidRPr="00AD7EBC" w:rsidRDefault="007E25A4" w:rsidP="00CC2191">
            <w:pPr>
              <w:ind w:left="135"/>
              <w:rPr>
                <w:sz w:val="20"/>
                <w:szCs w:val="20"/>
                <w:lang w:val="en-GB"/>
              </w:rPr>
            </w:pPr>
            <w:r w:rsidRPr="00AD7EBC">
              <w:rPr>
                <w:sz w:val="20"/>
                <w:szCs w:val="20"/>
                <w:lang w:val="en-GB"/>
              </w:rPr>
              <w:t>Quarterly</w:t>
            </w:r>
          </w:p>
          <w:p w14:paraId="40AA3CE5" w14:textId="77777777" w:rsidR="0042459F" w:rsidRPr="00AD7EBC" w:rsidRDefault="0042459F" w:rsidP="00CC2191">
            <w:pPr>
              <w:ind w:left="135"/>
              <w:rPr>
                <w:sz w:val="20"/>
                <w:szCs w:val="20"/>
                <w:lang w:val="en-GB"/>
              </w:rPr>
            </w:pPr>
          </w:p>
        </w:tc>
      </w:tr>
      <w:tr w:rsidR="0042459F" w:rsidRPr="00AD7EBC" w14:paraId="3A8697DA" w14:textId="77777777" w:rsidTr="0071113F">
        <w:trPr>
          <w:trHeight w:hRule="exact" w:val="2685"/>
        </w:trPr>
        <w:tc>
          <w:tcPr>
            <w:tcW w:w="1880" w:type="dxa"/>
          </w:tcPr>
          <w:p w14:paraId="318DD657" w14:textId="77777777" w:rsidR="0042459F" w:rsidRPr="00AD7EBC" w:rsidRDefault="0042459F" w:rsidP="0042459F">
            <w:pPr>
              <w:pStyle w:val="TableParagraph"/>
              <w:spacing w:line="251" w:lineRule="exact"/>
              <w:ind w:right="581"/>
              <w:rPr>
                <w:sz w:val="20"/>
                <w:szCs w:val="20"/>
                <w:lang w:val="en-GB"/>
              </w:rPr>
            </w:pPr>
            <w:r w:rsidRPr="00AD7EBC">
              <w:rPr>
                <w:sz w:val="20"/>
                <w:szCs w:val="20"/>
                <w:lang w:val="en-GB"/>
              </w:rPr>
              <w:t xml:space="preserve">Output 1.2 </w:t>
            </w:r>
          </w:p>
          <w:p w14:paraId="29649D66" w14:textId="77777777" w:rsidR="0042459F" w:rsidRPr="00AD7EBC" w:rsidRDefault="0042459F" w:rsidP="0042459F">
            <w:pPr>
              <w:pStyle w:val="TableParagraph"/>
              <w:spacing w:line="251" w:lineRule="exact"/>
              <w:ind w:right="581"/>
              <w:rPr>
                <w:sz w:val="20"/>
                <w:szCs w:val="20"/>
                <w:lang w:val="en-GB"/>
              </w:rPr>
            </w:pPr>
            <w:r w:rsidRPr="00AD7EBC">
              <w:rPr>
                <w:sz w:val="20"/>
                <w:szCs w:val="20"/>
                <w:lang w:val="en-GB"/>
              </w:rPr>
              <w:t>Number of children actively participating in Literacy &amp; Numeracy boost community activities</w:t>
            </w:r>
          </w:p>
        </w:tc>
        <w:tc>
          <w:tcPr>
            <w:tcW w:w="1417" w:type="dxa"/>
          </w:tcPr>
          <w:p w14:paraId="13F72B13" w14:textId="3C4CDC03" w:rsidR="0042459F" w:rsidRPr="00AD7EBC" w:rsidRDefault="0053270B" w:rsidP="0042459F">
            <w:pPr>
              <w:rPr>
                <w:sz w:val="20"/>
                <w:szCs w:val="20"/>
                <w:lang w:val="en-GB"/>
              </w:rPr>
            </w:pPr>
            <w:r w:rsidRPr="00AD7EBC">
              <w:rPr>
                <w:sz w:val="20"/>
                <w:szCs w:val="20"/>
                <w:lang w:val="en-GB"/>
              </w:rPr>
              <w:t>Reading camps in community</w:t>
            </w:r>
            <w:r w:rsidR="0042459F" w:rsidRPr="00AD7EBC">
              <w:rPr>
                <w:sz w:val="20"/>
                <w:szCs w:val="20"/>
                <w:lang w:val="en-GB"/>
              </w:rPr>
              <w:t xml:space="preserve"> </w:t>
            </w:r>
          </w:p>
        </w:tc>
        <w:tc>
          <w:tcPr>
            <w:tcW w:w="2127" w:type="dxa"/>
          </w:tcPr>
          <w:p w14:paraId="0C3C234A" w14:textId="3BCAEF74" w:rsidR="0042459F" w:rsidRPr="00AD7EBC" w:rsidRDefault="0053270B" w:rsidP="0042459F">
            <w:pPr>
              <w:rPr>
                <w:color w:val="000000"/>
                <w:sz w:val="20"/>
                <w:szCs w:val="20"/>
                <w:lang w:val="en-GB"/>
              </w:rPr>
            </w:pPr>
            <w:r w:rsidRPr="00AD7EBC">
              <w:rPr>
                <w:color w:val="000000"/>
                <w:sz w:val="20"/>
                <w:szCs w:val="20"/>
                <w:lang w:val="en-GB"/>
              </w:rPr>
              <w:t xml:space="preserve">Community LB volunteers. </w:t>
            </w:r>
          </w:p>
          <w:p w14:paraId="73510D07" w14:textId="0F1811BD" w:rsidR="0053270B" w:rsidRPr="00AD7EBC" w:rsidRDefault="0053270B" w:rsidP="0042459F">
            <w:pPr>
              <w:rPr>
                <w:color w:val="000000"/>
                <w:sz w:val="20"/>
                <w:szCs w:val="20"/>
                <w:lang w:val="en-GB"/>
              </w:rPr>
            </w:pPr>
          </w:p>
          <w:p w14:paraId="296D3BFB" w14:textId="65464690" w:rsidR="0053270B" w:rsidRPr="00AD7EBC" w:rsidRDefault="0053270B" w:rsidP="0042459F">
            <w:pPr>
              <w:rPr>
                <w:color w:val="000000"/>
                <w:sz w:val="20"/>
                <w:szCs w:val="20"/>
                <w:lang w:val="en-GB"/>
              </w:rPr>
            </w:pPr>
            <w:r w:rsidRPr="00AD7EBC">
              <w:rPr>
                <w:color w:val="000000"/>
                <w:sz w:val="20"/>
                <w:szCs w:val="20"/>
                <w:lang w:val="en-GB"/>
              </w:rPr>
              <w:t>Literacy and Numeracy boosts attendance sheet</w:t>
            </w:r>
          </w:p>
          <w:p w14:paraId="540DEC1C" w14:textId="0DF2B8AA" w:rsidR="0053270B" w:rsidRPr="00AD7EBC" w:rsidRDefault="0053270B" w:rsidP="0042459F">
            <w:pPr>
              <w:rPr>
                <w:color w:val="000000"/>
                <w:sz w:val="20"/>
                <w:szCs w:val="20"/>
                <w:lang w:val="en-GB"/>
              </w:rPr>
            </w:pPr>
          </w:p>
          <w:p w14:paraId="3BAFC3E9" w14:textId="39A35037" w:rsidR="0042459F" w:rsidRPr="00AD7EBC" w:rsidRDefault="0053270B" w:rsidP="0053270B">
            <w:pPr>
              <w:rPr>
                <w:color w:val="000000"/>
                <w:sz w:val="20"/>
                <w:szCs w:val="20"/>
                <w:lang w:val="en-GB"/>
              </w:rPr>
            </w:pPr>
            <w:r w:rsidRPr="00AD7EBC">
              <w:rPr>
                <w:color w:val="000000"/>
                <w:sz w:val="20"/>
                <w:szCs w:val="20"/>
                <w:lang w:val="en-GB"/>
              </w:rPr>
              <w:t xml:space="preserve">Disaggregated by sex. </w:t>
            </w:r>
          </w:p>
        </w:tc>
        <w:tc>
          <w:tcPr>
            <w:tcW w:w="2268" w:type="dxa"/>
          </w:tcPr>
          <w:p w14:paraId="04B7E2E5" w14:textId="543E40B5" w:rsidR="0053270B" w:rsidRPr="00AD7EBC" w:rsidRDefault="0053270B" w:rsidP="0042459F">
            <w:pPr>
              <w:rPr>
                <w:color w:val="000000"/>
                <w:sz w:val="20"/>
                <w:szCs w:val="20"/>
                <w:lang w:val="en-GB"/>
              </w:rPr>
            </w:pPr>
            <w:r w:rsidRPr="00AD7EBC">
              <w:rPr>
                <w:color w:val="000000"/>
                <w:sz w:val="20"/>
                <w:szCs w:val="20"/>
                <w:lang w:val="en-GB"/>
              </w:rPr>
              <w:t>Each participant will be recorded in the attendance sheet, which will then be used by the community volunteers to keep track of participants</w:t>
            </w:r>
          </w:p>
          <w:p w14:paraId="5B1B29BD" w14:textId="77777777" w:rsidR="0053270B" w:rsidRPr="00AD7EBC" w:rsidRDefault="0053270B" w:rsidP="0042459F">
            <w:pPr>
              <w:rPr>
                <w:color w:val="000000"/>
                <w:sz w:val="20"/>
                <w:szCs w:val="20"/>
                <w:lang w:val="en-GB"/>
              </w:rPr>
            </w:pPr>
          </w:p>
          <w:p w14:paraId="2CE2543E" w14:textId="77777777" w:rsidR="0042459F" w:rsidRPr="00AD7EBC" w:rsidRDefault="0042459F" w:rsidP="0053270B">
            <w:pPr>
              <w:rPr>
                <w:sz w:val="20"/>
                <w:szCs w:val="20"/>
                <w:lang w:val="en-GB"/>
              </w:rPr>
            </w:pPr>
          </w:p>
        </w:tc>
        <w:tc>
          <w:tcPr>
            <w:tcW w:w="1701" w:type="dxa"/>
          </w:tcPr>
          <w:p w14:paraId="01C68F0A" w14:textId="3EB3E7D1" w:rsidR="0042459F" w:rsidRPr="00AD7EBC" w:rsidRDefault="005917DA" w:rsidP="0042459F">
            <w:pPr>
              <w:rPr>
                <w:sz w:val="20"/>
                <w:szCs w:val="20"/>
                <w:lang w:val="en-GB"/>
              </w:rPr>
            </w:pPr>
            <w:r w:rsidRPr="00AD7EBC">
              <w:rPr>
                <w:sz w:val="20"/>
                <w:szCs w:val="20"/>
                <w:lang w:val="en-GB"/>
              </w:rPr>
              <w:t>Quarterly from</w:t>
            </w:r>
            <w:r w:rsidR="0042459F" w:rsidRPr="00AD7EBC">
              <w:rPr>
                <w:sz w:val="20"/>
                <w:szCs w:val="20"/>
                <w:lang w:val="en-GB"/>
              </w:rPr>
              <w:t xml:space="preserve"> Q</w:t>
            </w:r>
            <w:r w:rsidR="00427ADA" w:rsidRPr="00AD7EBC">
              <w:rPr>
                <w:sz w:val="20"/>
                <w:szCs w:val="20"/>
                <w:lang w:val="en-GB"/>
              </w:rPr>
              <w:t>4</w:t>
            </w:r>
            <w:r w:rsidR="0042459F" w:rsidRPr="00AD7EBC">
              <w:rPr>
                <w:sz w:val="20"/>
                <w:szCs w:val="20"/>
                <w:lang w:val="en-GB"/>
              </w:rPr>
              <w:t xml:space="preserve"> 2018</w:t>
            </w:r>
          </w:p>
          <w:p w14:paraId="396A352B" w14:textId="77777777" w:rsidR="0042459F" w:rsidRPr="00AD7EBC" w:rsidRDefault="0042459F" w:rsidP="0042459F">
            <w:pPr>
              <w:rPr>
                <w:sz w:val="20"/>
                <w:szCs w:val="20"/>
                <w:lang w:val="en-GB"/>
              </w:rPr>
            </w:pPr>
          </w:p>
        </w:tc>
      </w:tr>
      <w:tr w:rsidR="0042459F" w:rsidRPr="00AD7EBC" w14:paraId="210B5416" w14:textId="77777777" w:rsidTr="0071113F">
        <w:trPr>
          <w:trHeight w:hRule="exact" w:val="4025"/>
        </w:trPr>
        <w:tc>
          <w:tcPr>
            <w:tcW w:w="1880" w:type="dxa"/>
          </w:tcPr>
          <w:p w14:paraId="5D277B4C" w14:textId="77777777" w:rsidR="0042459F" w:rsidRPr="00AD7EBC" w:rsidRDefault="0042459F" w:rsidP="0042459F">
            <w:pPr>
              <w:rPr>
                <w:color w:val="000000"/>
                <w:sz w:val="20"/>
                <w:szCs w:val="20"/>
                <w:lang w:val="en-GB"/>
              </w:rPr>
            </w:pPr>
            <w:r w:rsidRPr="00AD7EBC">
              <w:rPr>
                <w:color w:val="000000"/>
                <w:sz w:val="20"/>
                <w:szCs w:val="20"/>
                <w:lang w:val="en-GB"/>
              </w:rPr>
              <w:lastRenderedPageBreak/>
              <w:t>Output 2.1</w:t>
            </w:r>
          </w:p>
          <w:p w14:paraId="4EB1F6A3" w14:textId="77777777" w:rsidR="0042459F" w:rsidRPr="00AD7EBC" w:rsidRDefault="0042459F" w:rsidP="0042459F">
            <w:pPr>
              <w:rPr>
                <w:color w:val="000000"/>
                <w:sz w:val="20"/>
                <w:szCs w:val="20"/>
                <w:lang w:val="en-GB"/>
              </w:rPr>
            </w:pPr>
            <w:r w:rsidRPr="00AD7EBC">
              <w:rPr>
                <w:color w:val="000000"/>
                <w:sz w:val="20"/>
                <w:szCs w:val="20"/>
                <w:lang w:val="en-GB"/>
              </w:rPr>
              <w:t>Proportion of teachers per annum who have completed four or more cycles of professional development (to include functional literacy &amp; numeracy, and gender-sensitive teaching)</w:t>
            </w:r>
          </w:p>
        </w:tc>
        <w:tc>
          <w:tcPr>
            <w:tcW w:w="1417" w:type="dxa"/>
          </w:tcPr>
          <w:p w14:paraId="1C4FB7DD" w14:textId="031B91DD" w:rsidR="0042459F" w:rsidRPr="00AD7EBC" w:rsidRDefault="009D467F" w:rsidP="0042459F">
            <w:pPr>
              <w:rPr>
                <w:color w:val="000000"/>
                <w:sz w:val="20"/>
                <w:szCs w:val="20"/>
                <w:lang w:val="en-GB"/>
              </w:rPr>
            </w:pPr>
            <w:r w:rsidRPr="00AD7EBC">
              <w:rPr>
                <w:color w:val="000000"/>
                <w:sz w:val="20"/>
                <w:szCs w:val="20"/>
                <w:lang w:val="en-GB"/>
              </w:rPr>
              <w:t>Teacher training centres</w:t>
            </w:r>
          </w:p>
        </w:tc>
        <w:tc>
          <w:tcPr>
            <w:tcW w:w="2127" w:type="dxa"/>
          </w:tcPr>
          <w:p w14:paraId="0C20F701" w14:textId="77777777" w:rsidR="009D467F" w:rsidRPr="00AD7EBC" w:rsidRDefault="009D467F" w:rsidP="009D467F">
            <w:pPr>
              <w:ind w:left="141"/>
              <w:rPr>
                <w:sz w:val="20"/>
                <w:szCs w:val="20"/>
                <w:lang w:val="en-GB"/>
              </w:rPr>
            </w:pPr>
            <w:r w:rsidRPr="00AD7EBC">
              <w:rPr>
                <w:sz w:val="20"/>
                <w:szCs w:val="20"/>
                <w:lang w:val="en-GB"/>
              </w:rPr>
              <w:t>Teacher Competency Profile, signed off by coach after each cycle. Coaches’ records of the cycles that each of their teachers have completed. Photos of records sent by coaches to SC staff.</w:t>
            </w:r>
          </w:p>
          <w:p w14:paraId="67B09B6E" w14:textId="77777777" w:rsidR="009D467F" w:rsidRPr="00AD7EBC" w:rsidRDefault="009D467F" w:rsidP="009D467F">
            <w:pPr>
              <w:ind w:left="141"/>
              <w:rPr>
                <w:sz w:val="20"/>
                <w:szCs w:val="20"/>
                <w:lang w:val="en-GB"/>
              </w:rPr>
            </w:pPr>
          </w:p>
          <w:p w14:paraId="7D47C265" w14:textId="737B6983" w:rsidR="009D467F" w:rsidRPr="00AD7EBC" w:rsidRDefault="009D467F" w:rsidP="009D467F">
            <w:pPr>
              <w:tabs>
                <w:tab w:val="left" w:pos="2565"/>
              </w:tabs>
              <w:rPr>
                <w:sz w:val="20"/>
                <w:szCs w:val="20"/>
                <w:lang w:val="en-GB"/>
              </w:rPr>
            </w:pPr>
            <w:r w:rsidRPr="00AD7EBC">
              <w:rPr>
                <w:sz w:val="20"/>
                <w:szCs w:val="20"/>
                <w:lang w:val="en-GB"/>
              </w:rPr>
              <w:t xml:space="preserve"> Disaggregated by sex.</w:t>
            </w:r>
          </w:p>
          <w:p w14:paraId="4A15A47B" w14:textId="77777777" w:rsidR="0042459F" w:rsidRPr="00AD7EBC" w:rsidRDefault="0042459F" w:rsidP="0042459F">
            <w:pPr>
              <w:rPr>
                <w:color w:val="000000"/>
                <w:sz w:val="20"/>
                <w:szCs w:val="20"/>
                <w:lang w:val="en-GB"/>
              </w:rPr>
            </w:pPr>
          </w:p>
          <w:p w14:paraId="3B53ED62" w14:textId="77777777" w:rsidR="0042459F" w:rsidRPr="00AD7EBC" w:rsidRDefault="0042459F" w:rsidP="0042459F">
            <w:pPr>
              <w:rPr>
                <w:color w:val="000000"/>
                <w:sz w:val="20"/>
                <w:szCs w:val="20"/>
                <w:lang w:val="en-GB"/>
              </w:rPr>
            </w:pPr>
          </w:p>
          <w:p w14:paraId="1DC69541" w14:textId="77777777" w:rsidR="0042459F" w:rsidRPr="00AD7EBC" w:rsidRDefault="0042459F" w:rsidP="0042459F">
            <w:pPr>
              <w:rPr>
                <w:color w:val="000000"/>
                <w:sz w:val="20"/>
                <w:szCs w:val="20"/>
                <w:lang w:val="en-GB"/>
              </w:rPr>
            </w:pPr>
          </w:p>
        </w:tc>
        <w:tc>
          <w:tcPr>
            <w:tcW w:w="2268" w:type="dxa"/>
          </w:tcPr>
          <w:p w14:paraId="36217197" w14:textId="77777777" w:rsidR="009D467F" w:rsidRPr="00AD7EBC" w:rsidRDefault="009D467F" w:rsidP="009D467F">
            <w:pPr>
              <w:ind w:left="141"/>
              <w:rPr>
                <w:sz w:val="20"/>
                <w:szCs w:val="20"/>
                <w:lang w:val="en-GB"/>
              </w:rPr>
            </w:pPr>
            <w:r w:rsidRPr="00AD7EBC">
              <w:rPr>
                <w:sz w:val="20"/>
                <w:szCs w:val="20"/>
                <w:lang w:val="en-GB"/>
              </w:rPr>
              <w:t>Coaching is the last stage in the TPD cycle, so the appropriate point at which to confirm the cycle is adequately completed.</w:t>
            </w:r>
          </w:p>
          <w:p w14:paraId="528A43BE" w14:textId="77777777" w:rsidR="0042459F" w:rsidRPr="00AD7EBC" w:rsidRDefault="0042459F" w:rsidP="009D467F">
            <w:pPr>
              <w:rPr>
                <w:color w:val="000000"/>
                <w:sz w:val="20"/>
                <w:szCs w:val="20"/>
                <w:lang w:val="en-GB"/>
              </w:rPr>
            </w:pPr>
          </w:p>
          <w:p w14:paraId="355E6D92" w14:textId="77777777" w:rsidR="0071113F" w:rsidRPr="00AD7EBC" w:rsidRDefault="0071113F" w:rsidP="0071113F">
            <w:pPr>
              <w:ind w:left="135"/>
              <w:rPr>
                <w:color w:val="000000"/>
                <w:sz w:val="20"/>
                <w:szCs w:val="20"/>
                <w:lang w:val="en-GB"/>
              </w:rPr>
            </w:pPr>
            <w:r w:rsidRPr="00AD7EBC">
              <w:rPr>
                <w:color w:val="000000"/>
                <w:sz w:val="20"/>
                <w:szCs w:val="20"/>
                <w:lang w:val="en-GB"/>
              </w:rPr>
              <w:t xml:space="preserve">The data collected will be analysed by the project staff and used during project meetings to show trends, discuss remedial measures if necessary to enable adaptive management throughout the life of the project. </w:t>
            </w:r>
          </w:p>
          <w:p w14:paraId="739DB7D6" w14:textId="06D91F16" w:rsidR="0071113F" w:rsidRPr="00AD7EBC" w:rsidRDefault="0071113F" w:rsidP="009D467F">
            <w:pPr>
              <w:rPr>
                <w:color w:val="000000"/>
                <w:sz w:val="20"/>
                <w:szCs w:val="20"/>
                <w:lang w:val="en-GB"/>
              </w:rPr>
            </w:pPr>
          </w:p>
        </w:tc>
        <w:tc>
          <w:tcPr>
            <w:tcW w:w="1701" w:type="dxa"/>
          </w:tcPr>
          <w:p w14:paraId="04A28C20" w14:textId="4E000CE2" w:rsidR="0042459F" w:rsidRPr="00AD7EBC" w:rsidRDefault="009D467F" w:rsidP="0042459F">
            <w:pPr>
              <w:rPr>
                <w:color w:val="000000"/>
                <w:sz w:val="20"/>
                <w:szCs w:val="20"/>
                <w:lang w:val="en-GB"/>
              </w:rPr>
            </w:pPr>
            <w:r w:rsidRPr="00AD7EBC">
              <w:rPr>
                <w:color w:val="000000"/>
                <w:sz w:val="20"/>
                <w:szCs w:val="20"/>
                <w:lang w:val="en-GB"/>
              </w:rPr>
              <w:t>Bi-annually</w:t>
            </w:r>
          </w:p>
          <w:p w14:paraId="6AE65302" w14:textId="77777777" w:rsidR="0042459F" w:rsidRPr="00AD7EBC" w:rsidRDefault="0042459F" w:rsidP="0042459F">
            <w:pPr>
              <w:rPr>
                <w:color w:val="000000"/>
                <w:sz w:val="20"/>
                <w:szCs w:val="20"/>
                <w:lang w:val="en-GB"/>
              </w:rPr>
            </w:pPr>
          </w:p>
        </w:tc>
      </w:tr>
      <w:tr w:rsidR="0042459F" w:rsidRPr="00AD7EBC" w14:paraId="48020BD0" w14:textId="77777777" w:rsidTr="00F630F1">
        <w:trPr>
          <w:trHeight w:hRule="exact" w:val="5236"/>
        </w:trPr>
        <w:tc>
          <w:tcPr>
            <w:tcW w:w="1880" w:type="dxa"/>
          </w:tcPr>
          <w:p w14:paraId="4AA59A3F" w14:textId="77777777" w:rsidR="0042459F" w:rsidRPr="00AD7EBC" w:rsidRDefault="0042459F" w:rsidP="0042459F">
            <w:pPr>
              <w:pStyle w:val="TableParagraph"/>
              <w:spacing w:line="251" w:lineRule="exact"/>
              <w:ind w:right="581"/>
              <w:rPr>
                <w:color w:val="000000"/>
                <w:sz w:val="20"/>
                <w:szCs w:val="20"/>
                <w:lang w:val="en-GB"/>
              </w:rPr>
            </w:pPr>
            <w:r w:rsidRPr="00AD7EBC">
              <w:rPr>
                <w:color w:val="000000"/>
                <w:sz w:val="20"/>
                <w:szCs w:val="20"/>
                <w:lang w:val="en-GB"/>
              </w:rPr>
              <w:t>Output 2.2</w:t>
            </w:r>
          </w:p>
          <w:p w14:paraId="4E1B3CF3" w14:textId="77777777" w:rsidR="0042459F" w:rsidRPr="00AD7EBC" w:rsidRDefault="0042459F" w:rsidP="0042459F">
            <w:pPr>
              <w:pStyle w:val="TableParagraph"/>
              <w:spacing w:line="251" w:lineRule="exact"/>
              <w:ind w:right="581"/>
              <w:rPr>
                <w:color w:val="000000"/>
                <w:sz w:val="20"/>
                <w:szCs w:val="20"/>
                <w:lang w:val="en-GB"/>
              </w:rPr>
            </w:pPr>
            <w:r w:rsidRPr="00AD7EBC">
              <w:rPr>
                <w:color w:val="000000"/>
                <w:sz w:val="20"/>
                <w:szCs w:val="20"/>
                <w:lang w:val="en-GB"/>
              </w:rPr>
              <w:t>Proportion of school leaders and/or coaches who provide one observation feedback on the performance of teachers per cycle</w:t>
            </w:r>
          </w:p>
        </w:tc>
        <w:tc>
          <w:tcPr>
            <w:tcW w:w="1417" w:type="dxa"/>
          </w:tcPr>
          <w:p w14:paraId="52223EA8" w14:textId="4DB776C8" w:rsidR="0042459F" w:rsidRPr="00AD7EBC" w:rsidRDefault="0071113F" w:rsidP="0042459F">
            <w:pPr>
              <w:rPr>
                <w:color w:val="000000"/>
                <w:sz w:val="20"/>
                <w:szCs w:val="20"/>
                <w:lang w:val="en-GB"/>
              </w:rPr>
            </w:pPr>
            <w:r w:rsidRPr="00AD7EBC">
              <w:rPr>
                <w:color w:val="000000"/>
                <w:sz w:val="20"/>
                <w:szCs w:val="20"/>
                <w:lang w:val="en-GB"/>
              </w:rPr>
              <w:t>School</w:t>
            </w:r>
          </w:p>
        </w:tc>
        <w:tc>
          <w:tcPr>
            <w:tcW w:w="2127" w:type="dxa"/>
          </w:tcPr>
          <w:p w14:paraId="34F3EDEF" w14:textId="69BFE435" w:rsidR="009D467F" w:rsidRPr="00AD7EBC" w:rsidRDefault="009D467F" w:rsidP="009D467F">
            <w:pPr>
              <w:rPr>
                <w:sz w:val="20"/>
                <w:szCs w:val="20"/>
                <w:lang w:val="en-GB"/>
              </w:rPr>
            </w:pPr>
            <w:r w:rsidRPr="00AD7EBC">
              <w:rPr>
                <w:sz w:val="20"/>
                <w:szCs w:val="20"/>
                <w:lang w:val="en-GB"/>
              </w:rPr>
              <w:t>TPD coaches' lesson observation feedback report</w:t>
            </w:r>
            <w:r w:rsidR="00426D08" w:rsidRPr="00AD7EBC">
              <w:rPr>
                <w:sz w:val="20"/>
                <w:szCs w:val="20"/>
                <w:lang w:val="en-GB"/>
              </w:rPr>
              <w:t xml:space="preserve"> - photos. </w:t>
            </w:r>
          </w:p>
          <w:p w14:paraId="0CFBCCA8" w14:textId="77777777" w:rsidR="009D467F" w:rsidRPr="00AD7EBC" w:rsidRDefault="009D467F" w:rsidP="009D467F">
            <w:pPr>
              <w:rPr>
                <w:sz w:val="20"/>
                <w:szCs w:val="20"/>
                <w:lang w:val="en-GB"/>
              </w:rPr>
            </w:pPr>
          </w:p>
          <w:p w14:paraId="256E02F5" w14:textId="0EAD879B" w:rsidR="0042459F" w:rsidRPr="00AD7EBC" w:rsidRDefault="009D467F" w:rsidP="009D467F">
            <w:pPr>
              <w:rPr>
                <w:color w:val="000000"/>
                <w:sz w:val="20"/>
                <w:szCs w:val="20"/>
                <w:lang w:val="en-GB"/>
              </w:rPr>
            </w:pPr>
            <w:r w:rsidRPr="00AD7EBC">
              <w:rPr>
                <w:sz w:val="20"/>
                <w:szCs w:val="20"/>
                <w:lang w:val="en-GB"/>
              </w:rPr>
              <w:t xml:space="preserve"> Disaggregated by sex</w:t>
            </w:r>
            <w:r w:rsidR="00AD7FA8">
              <w:rPr>
                <w:sz w:val="20"/>
                <w:szCs w:val="20"/>
                <w:lang w:val="en-GB"/>
              </w:rPr>
              <w:t xml:space="preserve">, of coach and teacher. </w:t>
            </w:r>
          </w:p>
        </w:tc>
        <w:tc>
          <w:tcPr>
            <w:tcW w:w="2268" w:type="dxa"/>
          </w:tcPr>
          <w:p w14:paraId="74205EBD" w14:textId="77777777" w:rsidR="009D467F" w:rsidRPr="00AD7EBC" w:rsidRDefault="009D467F" w:rsidP="009D467F">
            <w:pPr>
              <w:rPr>
                <w:color w:val="000000"/>
                <w:sz w:val="20"/>
                <w:szCs w:val="20"/>
                <w:lang w:val="en-GB"/>
              </w:rPr>
            </w:pPr>
            <w:r w:rsidRPr="00AD7EBC">
              <w:rPr>
                <w:color w:val="000000"/>
                <w:sz w:val="20"/>
                <w:szCs w:val="20"/>
                <w:lang w:val="en-GB"/>
              </w:rPr>
              <w:t xml:space="preserve">These are the actual forms coaches use to provide feedback to teachers. We can use them to determine that feedback was given (the teacher signs to say it was received). </w:t>
            </w:r>
          </w:p>
          <w:p w14:paraId="18DF7DCF" w14:textId="77777777" w:rsidR="009D467F" w:rsidRPr="00AD7EBC" w:rsidRDefault="009D467F" w:rsidP="009D467F">
            <w:pPr>
              <w:rPr>
                <w:color w:val="000000"/>
                <w:sz w:val="20"/>
                <w:szCs w:val="20"/>
                <w:lang w:val="en-GB"/>
              </w:rPr>
            </w:pPr>
            <w:r w:rsidRPr="00AD7EBC">
              <w:rPr>
                <w:color w:val="000000"/>
                <w:sz w:val="20"/>
                <w:szCs w:val="20"/>
                <w:lang w:val="en-GB"/>
              </w:rPr>
              <w:t xml:space="preserve"> </w:t>
            </w:r>
          </w:p>
          <w:p w14:paraId="0C69583C" w14:textId="77777777" w:rsidR="0042459F" w:rsidRPr="00AD7EBC" w:rsidRDefault="009D467F" w:rsidP="009D467F">
            <w:pPr>
              <w:rPr>
                <w:color w:val="000000"/>
                <w:sz w:val="20"/>
                <w:szCs w:val="20"/>
                <w:lang w:val="en-GB"/>
              </w:rPr>
            </w:pPr>
            <w:r w:rsidRPr="00AD7EBC">
              <w:rPr>
                <w:color w:val="000000"/>
                <w:sz w:val="20"/>
                <w:szCs w:val="20"/>
                <w:lang w:val="en-GB"/>
              </w:rPr>
              <w:t>The photos themselves will serve as evidence.</w:t>
            </w:r>
          </w:p>
          <w:p w14:paraId="6BFB06A1" w14:textId="77777777" w:rsidR="0071113F" w:rsidRPr="00AD7EBC" w:rsidRDefault="0071113F" w:rsidP="009D467F">
            <w:pPr>
              <w:rPr>
                <w:color w:val="000000"/>
                <w:sz w:val="20"/>
                <w:szCs w:val="20"/>
                <w:lang w:val="en-GB"/>
              </w:rPr>
            </w:pPr>
          </w:p>
          <w:p w14:paraId="220F10BA" w14:textId="77777777" w:rsidR="0071113F" w:rsidRPr="00AD7EBC" w:rsidRDefault="0071113F" w:rsidP="0071113F">
            <w:pPr>
              <w:ind w:left="135"/>
              <w:rPr>
                <w:color w:val="000000"/>
                <w:sz w:val="20"/>
                <w:szCs w:val="20"/>
                <w:lang w:val="en-GB"/>
              </w:rPr>
            </w:pPr>
            <w:r w:rsidRPr="00AD7EBC">
              <w:rPr>
                <w:color w:val="000000"/>
                <w:sz w:val="20"/>
                <w:szCs w:val="20"/>
                <w:lang w:val="en-GB"/>
              </w:rPr>
              <w:t xml:space="preserve">The data collected will be analysed by the project staff and used during project meetings to show trends, discuss remedial measures if necessary to enable adaptive management throughout the life of the project. </w:t>
            </w:r>
          </w:p>
          <w:p w14:paraId="08744899" w14:textId="7007880B" w:rsidR="0071113F" w:rsidRPr="00AD7EBC" w:rsidRDefault="0071113F" w:rsidP="009D467F">
            <w:pPr>
              <w:rPr>
                <w:color w:val="000000"/>
                <w:sz w:val="20"/>
                <w:szCs w:val="20"/>
                <w:lang w:val="en-GB"/>
              </w:rPr>
            </w:pPr>
          </w:p>
        </w:tc>
        <w:tc>
          <w:tcPr>
            <w:tcW w:w="1701" w:type="dxa"/>
          </w:tcPr>
          <w:p w14:paraId="774C5FBF" w14:textId="04FC683C" w:rsidR="0042459F" w:rsidRPr="00AD7EBC" w:rsidRDefault="009D467F" w:rsidP="0042459F">
            <w:pPr>
              <w:rPr>
                <w:color w:val="000000"/>
                <w:sz w:val="20"/>
                <w:szCs w:val="20"/>
                <w:lang w:val="en-GB"/>
              </w:rPr>
            </w:pPr>
            <w:r w:rsidRPr="00AD7EBC">
              <w:rPr>
                <w:sz w:val="20"/>
                <w:szCs w:val="20"/>
                <w:lang w:val="en-GB"/>
              </w:rPr>
              <w:t>Photos submitted after each cycle (once every six weeks)</w:t>
            </w:r>
          </w:p>
        </w:tc>
      </w:tr>
      <w:tr w:rsidR="0042459F" w:rsidRPr="00AD7EBC" w14:paraId="30D57784" w14:textId="77777777" w:rsidTr="00F630F1">
        <w:trPr>
          <w:trHeight w:hRule="exact" w:val="2972"/>
        </w:trPr>
        <w:tc>
          <w:tcPr>
            <w:tcW w:w="1880" w:type="dxa"/>
          </w:tcPr>
          <w:p w14:paraId="118BF3EC" w14:textId="77777777" w:rsidR="0042459F" w:rsidRPr="00AD7EBC" w:rsidRDefault="0042459F" w:rsidP="0042459F">
            <w:pPr>
              <w:pStyle w:val="TableParagraph"/>
              <w:spacing w:line="251" w:lineRule="exact"/>
              <w:ind w:right="581"/>
              <w:rPr>
                <w:color w:val="000000"/>
                <w:sz w:val="20"/>
                <w:szCs w:val="20"/>
                <w:lang w:val="en-GB"/>
              </w:rPr>
            </w:pPr>
            <w:r w:rsidRPr="00AD7EBC">
              <w:rPr>
                <w:color w:val="000000"/>
                <w:sz w:val="20"/>
                <w:szCs w:val="20"/>
                <w:lang w:val="en-GB"/>
              </w:rPr>
              <w:lastRenderedPageBreak/>
              <w:t>Output 2.3</w:t>
            </w:r>
          </w:p>
          <w:p w14:paraId="4119518B" w14:textId="77777777" w:rsidR="0042459F" w:rsidRPr="00AD7EBC" w:rsidRDefault="0042459F" w:rsidP="0042459F">
            <w:pPr>
              <w:pStyle w:val="TableParagraph"/>
              <w:spacing w:line="251" w:lineRule="exact"/>
              <w:ind w:right="581"/>
              <w:rPr>
                <w:color w:val="000000"/>
                <w:sz w:val="20"/>
                <w:szCs w:val="20"/>
                <w:lang w:val="en-GB"/>
              </w:rPr>
            </w:pPr>
            <w:r w:rsidRPr="00AD7EBC">
              <w:rPr>
                <w:color w:val="000000"/>
                <w:sz w:val="20"/>
                <w:szCs w:val="20"/>
                <w:lang w:val="en-GB"/>
              </w:rPr>
              <w:t># of children completing standardized end of year AEP exams</w:t>
            </w:r>
          </w:p>
        </w:tc>
        <w:tc>
          <w:tcPr>
            <w:tcW w:w="1417" w:type="dxa"/>
          </w:tcPr>
          <w:p w14:paraId="035A0CCE" w14:textId="770A9B07" w:rsidR="0042459F" w:rsidRPr="00AD7EBC" w:rsidRDefault="009D467F" w:rsidP="009D467F">
            <w:pPr>
              <w:spacing w:line="251" w:lineRule="exact"/>
              <w:rPr>
                <w:color w:val="000000"/>
                <w:sz w:val="20"/>
                <w:szCs w:val="20"/>
                <w:lang w:val="en-GB"/>
              </w:rPr>
            </w:pPr>
            <w:r w:rsidRPr="00AD7EBC">
              <w:rPr>
                <w:color w:val="000000"/>
                <w:sz w:val="20"/>
                <w:szCs w:val="20"/>
                <w:lang w:val="en-GB"/>
              </w:rPr>
              <w:t>AEP centres</w:t>
            </w:r>
          </w:p>
        </w:tc>
        <w:tc>
          <w:tcPr>
            <w:tcW w:w="2127" w:type="dxa"/>
          </w:tcPr>
          <w:p w14:paraId="13286F21" w14:textId="77777777" w:rsidR="0042459F" w:rsidRPr="00AD7EBC" w:rsidRDefault="00F630F1" w:rsidP="00F630F1">
            <w:pPr>
              <w:pStyle w:val="TableParagraph"/>
              <w:spacing w:line="251" w:lineRule="exact"/>
              <w:ind w:right="581"/>
              <w:rPr>
                <w:color w:val="000000"/>
                <w:sz w:val="20"/>
                <w:szCs w:val="20"/>
                <w:lang w:val="en-GB"/>
              </w:rPr>
            </w:pPr>
            <w:r w:rsidRPr="00AD7EBC">
              <w:rPr>
                <w:color w:val="000000"/>
                <w:sz w:val="20"/>
                <w:szCs w:val="20"/>
                <w:lang w:val="en-GB"/>
              </w:rPr>
              <w:t xml:space="preserve">Record of children who take the exams and scores of these children. </w:t>
            </w:r>
          </w:p>
          <w:p w14:paraId="5B7609B3" w14:textId="77777777" w:rsidR="00F630F1" w:rsidRPr="00AD7EBC" w:rsidRDefault="00F630F1" w:rsidP="00F630F1">
            <w:pPr>
              <w:pStyle w:val="TableParagraph"/>
              <w:spacing w:line="251" w:lineRule="exact"/>
              <w:ind w:right="581"/>
              <w:rPr>
                <w:color w:val="000000"/>
                <w:sz w:val="20"/>
                <w:szCs w:val="20"/>
                <w:lang w:val="en-GB"/>
              </w:rPr>
            </w:pPr>
          </w:p>
          <w:p w14:paraId="4AE94925" w14:textId="77777777" w:rsidR="00F630F1" w:rsidRPr="00AD7EBC" w:rsidRDefault="00F630F1" w:rsidP="00F630F1">
            <w:pPr>
              <w:pStyle w:val="TableParagraph"/>
              <w:spacing w:line="251" w:lineRule="exact"/>
              <w:ind w:right="581"/>
              <w:rPr>
                <w:color w:val="000000"/>
                <w:sz w:val="20"/>
                <w:szCs w:val="20"/>
                <w:lang w:val="en-GB"/>
              </w:rPr>
            </w:pPr>
            <w:r w:rsidRPr="00AD7EBC">
              <w:rPr>
                <w:color w:val="000000"/>
                <w:sz w:val="20"/>
                <w:szCs w:val="20"/>
                <w:lang w:val="en-GB"/>
              </w:rPr>
              <w:t>Collected in person.</w:t>
            </w:r>
          </w:p>
          <w:p w14:paraId="3E9B44AC" w14:textId="77777777" w:rsidR="00F630F1" w:rsidRPr="00AD7EBC" w:rsidRDefault="00F630F1" w:rsidP="00F630F1">
            <w:pPr>
              <w:pStyle w:val="TableParagraph"/>
              <w:spacing w:line="251" w:lineRule="exact"/>
              <w:ind w:right="581"/>
              <w:rPr>
                <w:color w:val="000000"/>
                <w:sz w:val="20"/>
                <w:szCs w:val="20"/>
                <w:lang w:val="en-GB"/>
              </w:rPr>
            </w:pPr>
          </w:p>
          <w:p w14:paraId="7F90429B" w14:textId="5E7C9225" w:rsidR="00F630F1" w:rsidRPr="00AD7EBC" w:rsidRDefault="00F630F1" w:rsidP="00F630F1">
            <w:pPr>
              <w:pStyle w:val="TableParagraph"/>
              <w:spacing w:line="251" w:lineRule="exact"/>
              <w:ind w:right="581"/>
              <w:rPr>
                <w:color w:val="000000"/>
                <w:sz w:val="20"/>
                <w:szCs w:val="20"/>
                <w:lang w:val="en-GB"/>
              </w:rPr>
            </w:pPr>
            <w:r w:rsidRPr="00AD7EBC">
              <w:rPr>
                <w:color w:val="000000"/>
                <w:sz w:val="20"/>
                <w:szCs w:val="20"/>
                <w:lang w:val="en-GB"/>
              </w:rPr>
              <w:t xml:space="preserve">Disaggregated by sex. </w:t>
            </w:r>
          </w:p>
        </w:tc>
        <w:tc>
          <w:tcPr>
            <w:tcW w:w="2268" w:type="dxa"/>
          </w:tcPr>
          <w:p w14:paraId="5C582CF1" w14:textId="08E0D602" w:rsidR="0042459F" w:rsidRPr="00AD7EBC" w:rsidRDefault="00F630F1" w:rsidP="0042459F">
            <w:pPr>
              <w:rPr>
                <w:sz w:val="20"/>
                <w:szCs w:val="20"/>
                <w:lang w:val="en-GB"/>
              </w:rPr>
            </w:pPr>
            <w:r w:rsidRPr="00AD7EBC">
              <w:rPr>
                <w:color w:val="000000"/>
                <w:sz w:val="20"/>
                <w:szCs w:val="20"/>
                <w:lang w:val="en-GB"/>
              </w:rPr>
              <w:t>This will allow for cross check, and let the project know children who didn’t complete the exams for follow up.</w:t>
            </w:r>
          </w:p>
        </w:tc>
        <w:tc>
          <w:tcPr>
            <w:tcW w:w="1701" w:type="dxa"/>
          </w:tcPr>
          <w:p w14:paraId="3DC10479" w14:textId="7B2370AC" w:rsidR="0042459F" w:rsidRPr="00AD7EBC" w:rsidRDefault="00F630F1" w:rsidP="0042459F">
            <w:pPr>
              <w:pStyle w:val="TableParagraph"/>
              <w:spacing w:line="251" w:lineRule="exact"/>
              <w:ind w:right="581"/>
              <w:rPr>
                <w:color w:val="000000"/>
                <w:sz w:val="20"/>
                <w:szCs w:val="20"/>
                <w:lang w:val="en-GB"/>
              </w:rPr>
            </w:pPr>
            <w:r w:rsidRPr="00AD7EBC">
              <w:rPr>
                <w:color w:val="000000"/>
                <w:sz w:val="20"/>
                <w:szCs w:val="20"/>
                <w:lang w:val="en-GB"/>
              </w:rPr>
              <w:t>Annually</w:t>
            </w:r>
          </w:p>
        </w:tc>
      </w:tr>
      <w:tr w:rsidR="0042459F" w:rsidRPr="00AD7EBC" w14:paraId="781B58E1" w14:textId="77777777" w:rsidTr="00193E66">
        <w:trPr>
          <w:trHeight w:hRule="exact" w:val="3283"/>
        </w:trPr>
        <w:tc>
          <w:tcPr>
            <w:tcW w:w="1880" w:type="dxa"/>
          </w:tcPr>
          <w:p w14:paraId="0856C977" w14:textId="77777777" w:rsidR="0042459F" w:rsidRPr="00AD7EBC" w:rsidRDefault="0042459F" w:rsidP="0042459F">
            <w:pPr>
              <w:pStyle w:val="TableParagraph"/>
              <w:spacing w:line="251" w:lineRule="exact"/>
              <w:ind w:right="581"/>
              <w:rPr>
                <w:color w:val="000000"/>
                <w:sz w:val="20"/>
                <w:szCs w:val="20"/>
                <w:lang w:val="en-GB"/>
              </w:rPr>
            </w:pPr>
            <w:r w:rsidRPr="00AD7EBC">
              <w:rPr>
                <w:color w:val="000000"/>
                <w:sz w:val="20"/>
                <w:szCs w:val="20"/>
                <w:lang w:val="en-GB"/>
              </w:rPr>
              <w:t>Output 3.1</w:t>
            </w:r>
          </w:p>
          <w:p w14:paraId="047B8ACA" w14:textId="77777777" w:rsidR="0042459F" w:rsidRPr="00AD7EBC" w:rsidRDefault="0042459F" w:rsidP="0042459F">
            <w:pPr>
              <w:pStyle w:val="TableParagraph"/>
              <w:spacing w:line="251" w:lineRule="exact"/>
              <w:ind w:right="581"/>
              <w:rPr>
                <w:color w:val="000000"/>
                <w:sz w:val="20"/>
                <w:szCs w:val="20"/>
                <w:lang w:val="en-GB"/>
              </w:rPr>
            </w:pPr>
            <w:r w:rsidRPr="00AD7EBC">
              <w:rPr>
                <w:color w:val="000000"/>
                <w:sz w:val="20"/>
                <w:szCs w:val="20"/>
                <w:lang w:val="en-GB"/>
              </w:rPr>
              <w:t># of teachers trained in psychosocial support to detect cases of abuse or trauma among their students and provide support</w:t>
            </w:r>
          </w:p>
        </w:tc>
        <w:tc>
          <w:tcPr>
            <w:tcW w:w="1417" w:type="dxa"/>
          </w:tcPr>
          <w:p w14:paraId="12880F79" w14:textId="3C91666D" w:rsidR="0042459F" w:rsidRPr="00AD7EBC" w:rsidRDefault="00193E66" w:rsidP="0042459F">
            <w:pPr>
              <w:spacing w:line="251" w:lineRule="exact"/>
              <w:rPr>
                <w:color w:val="000000"/>
                <w:sz w:val="20"/>
                <w:szCs w:val="20"/>
                <w:lang w:val="en-GB"/>
              </w:rPr>
            </w:pPr>
            <w:r w:rsidRPr="00AD7EBC">
              <w:rPr>
                <w:color w:val="000000"/>
                <w:sz w:val="20"/>
                <w:szCs w:val="20"/>
                <w:lang w:val="en-GB"/>
              </w:rPr>
              <w:t>TPD training centres</w:t>
            </w:r>
          </w:p>
        </w:tc>
        <w:tc>
          <w:tcPr>
            <w:tcW w:w="2127" w:type="dxa"/>
          </w:tcPr>
          <w:p w14:paraId="4FDE4216" w14:textId="6953EF77" w:rsidR="00193E66" w:rsidRPr="00AD7EBC" w:rsidRDefault="00193E66" w:rsidP="0042459F">
            <w:pPr>
              <w:spacing w:line="251" w:lineRule="exact"/>
              <w:rPr>
                <w:color w:val="000000"/>
                <w:sz w:val="20"/>
                <w:szCs w:val="20"/>
                <w:lang w:val="en-GB"/>
              </w:rPr>
            </w:pPr>
            <w:r w:rsidRPr="00AD7EBC">
              <w:rPr>
                <w:color w:val="000000"/>
                <w:sz w:val="20"/>
                <w:szCs w:val="20"/>
                <w:lang w:val="en-GB"/>
              </w:rPr>
              <w:t xml:space="preserve">Training record of number of teachers attending and completing an exam. </w:t>
            </w:r>
          </w:p>
          <w:p w14:paraId="54169C71" w14:textId="6194E6FA" w:rsidR="00193E66" w:rsidRPr="00AD7EBC" w:rsidRDefault="00193E66" w:rsidP="0042459F">
            <w:pPr>
              <w:spacing w:line="251" w:lineRule="exact"/>
              <w:rPr>
                <w:color w:val="000000"/>
                <w:sz w:val="20"/>
                <w:szCs w:val="20"/>
                <w:lang w:val="en-GB"/>
              </w:rPr>
            </w:pPr>
          </w:p>
          <w:p w14:paraId="286DFFEE" w14:textId="41533794" w:rsidR="00193E66" w:rsidRPr="00AD7EBC" w:rsidRDefault="00193E66" w:rsidP="0042459F">
            <w:pPr>
              <w:spacing w:line="251" w:lineRule="exact"/>
              <w:rPr>
                <w:color w:val="000000"/>
                <w:sz w:val="20"/>
                <w:szCs w:val="20"/>
                <w:lang w:val="en-GB"/>
              </w:rPr>
            </w:pPr>
            <w:r w:rsidRPr="00AD7EBC">
              <w:rPr>
                <w:color w:val="000000"/>
                <w:sz w:val="20"/>
                <w:szCs w:val="20"/>
                <w:lang w:val="en-GB"/>
              </w:rPr>
              <w:t>Disaggregated by sex</w:t>
            </w:r>
          </w:p>
          <w:p w14:paraId="3087FFE9" w14:textId="14DEBB76" w:rsidR="00193E66" w:rsidRPr="00AD7EBC" w:rsidRDefault="00193E66" w:rsidP="0042459F">
            <w:pPr>
              <w:spacing w:line="251" w:lineRule="exact"/>
              <w:rPr>
                <w:color w:val="000000"/>
                <w:sz w:val="20"/>
                <w:szCs w:val="20"/>
                <w:lang w:val="en-GB"/>
              </w:rPr>
            </w:pPr>
          </w:p>
          <w:p w14:paraId="3FCA5577" w14:textId="5AB08EA2" w:rsidR="00193E66" w:rsidRPr="00AD7EBC" w:rsidRDefault="00193E66" w:rsidP="0042459F">
            <w:pPr>
              <w:spacing w:line="251" w:lineRule="exact"/>
              <w:rPr>
                <w:color w:val="000000"/>
                <w:sz w:val="20"/>
                <w:szCs w:val="20"/>
                <w:lang w:val="en-GB"/>
              </w:rPr>
            </w:pPr>
            <w:r w:rsidRPr="00AD7EBC">
              <w:rPr>
                <w:color w:val="000000"/>
                <w:sz w:val="20"/>
                <w:szCs w:val="20"/>
                <w:lang w:val="en-GB"/>
              </w:rPr>
              <w:t>Collected in person</w:t>
            </w:r>
          </w:p>
          <w:p w14:paraId="3ADB303A" w14:textId="77777777" w:rsidR="0042459F" w:rsidRPr="00AD7EBC" w:rsidRDefault="0042459F" w:rsidP="00193E66">
            <w:pPr>
              <w:spacing w:line="251" w:lineRule="exact"/>
              <w:rPr>
                <w:color w:val="000000"/>
                <w:sz w:val="20"/>
                <w:szCs w:val="20"/>
                <w:lang w:val="en-GB"/>
              </w:rPr>
            </w:pPr>
          </w:p>
        </w:tc>
        <w:tc>
          <w:tcPr>
            <w:tcW w:w="2268" w:type="dxa"/>
          </w:tcPr>
          <w:p w14:paraId="7E40E037" w14:textId="06AF1B48" w:rsidR="0042459F" w:rsidRPr="00AD7EBC" w:rsidRDefault="00193E66" w:rsidP="00193E66">
            <w:pPr>
              <w:rPr>
                <w:color w:val="000000"/>
                <w:sz w:val="20"/>
                <w:szCs w:val="20"/>
                <w:lang w:val="en-GB"/>
              </w:rPr>
            </w:pPr>
            <w:r w:rsidRPr="00AD7EBC">
              <w:rPr>
                <w:color w:val="000000"/>
                <w:sz w:val="20"/>
                <w:szCs w:val="20"/>
                <w:lang w:val="en-GB"/>
              </w:rPr>
              <w:t>This will allow the project to know who are the teachers who were trained and who successfully completed the exam on that subject</w:t>
            </w:r>
          </w:p>
        </w:tc>
        <w:tc>
          <w:tcPr>
            <w:tcW w:w="1701" w:type="dxa"/>
          </w:tcPr>
          <w:p w14:paraId="19E6A8E6" w14:textId="65A50DFD" w:rsidR="0042459F" w:rsidRPr="00AD7EBC" w:rsidRDefault="00193E66" w:rsidP="0042459F">
            <w:pPr>
              <w:spacing w:line="251" w:lineRule="exact"/>
              <w:rPr>
                <w:color w:val="000000"/>
                <w:sz w:val="20"/>
                <w:szCs w:val="20"/>
                <w:lang w:val="en-GB"/>
              </w:rPr>
            </w:pPr>
            <w:r w:rsidRPr="00AD7EBC">
              <w:rPr>
                <w:color w:val="000000"/>
                <w:sz w:val="20"/>
                <w:szCs w:val="20"/>
                <w:lang w:val="en-GB"/>
              </w:rPr>
              <w:t>Bi-annually</w:t>
            </w:r>
          </w:p>
          <w:p w14:paraId="40EA5067" w14:textId="77777777" w:rsidR="0042459F" w:rsidRPr="00AD7EBC" w:rsidRDefault="0042459F" w:rsidP="0042459F">
            <w:pPr>
              <w:spacing w:line="251" w:lineRule="exact"/>
              <w:rPr>
                <w:color w:val="000000"/>
                <w:sz w:val="20"/>
                <w:szCs w:val="20"/>
                <w:lang w:val="en-GB"/>
              </w:rPr>
            </w:pPr>
          </w:p>
        </w:tc>
      </w:tr>
      <w:tr w:rsidR="0042459F" w:rsidRPr="00AD7EBC" w14:paraId="282B68DB" w14:textId="77777777" w:rsidTr="0071113F">
        <w:trPr>
          <w:trHeight w:hRule="exact" w:val="2665"/>
        </w:trPr>
        <w:tc>
          <w:tcPr>
            <w:tcW w:w="1880" w:type="dxa"/>
          </w:tcPr>
          <w:p w14:paraId="4C2DAB4B" w14:textId="77777777" w:rsidR="0042459F" w:rsidRPr="00AD7EBC" w:rsidRDefault="0042459F" w:rsidP="0042459F">
            <w:pPr>
              <w:pStyle w:val="TableParagraph"/>
              <w:ind w:right="581"/>
              <w:rPr>
                <w:color w:val="000000"/>
                <w:sz w:val="20"/>
                <w:szCs w:val="20"/>
                <w:lang w:val="en-GB"/>
              </w:rPr>
            </w:pPr>
            <w:r w:rsidRPr="00AD7EBC">
              <w:rPr>
                <w:color w:val="000000"/>
                <w:sz w:val="20"/>
                <w:szCs w:val="20"/>
                <w:lang w:val="en-GB"/>
              </w:rPr>
              <w:t>Output 3.2</w:t>
            </w:r>
          </w:p>
          <w:p w14:paraId="0F114A52" w14:textId="77777777" w:rsidR="0042459F" w:rsidRPr="00AD7EBC" w:rsidRDefault="0042459F" w:rsidP="0042459F">
            <w:pPr>
              <w:pStyle w:val="TableParagraph"/>
              <w:ind w:right="581"/>
              <w:rPr>
                <w:color w:val="000000"/>
                <w:sz w:val="20"/>
                <w:szCs w:val="20"/>
                <w:lang w:val="en-GB"/>
              </w:rPr>
            </w:pPr>
            <w:r w:rsidRPr="00AD7EBC">
              <w:rPr>
                <w:color w:val="000000"/>
                <w:sz w:val="20"/>
                <w:szCs w:val="20"/>
                <w:lang w:val="en-GB"/>
              </w:rPr>
              <w:t># of girls better resourced for school</w:t>
            </w:r>
          </w:p>
          <w:p w14:paraId="255CD8BF" w14:textId="77777777" w:rsidR="0042459F" w:rsidRPr="00AD7EBC" w:rsidRDefault="0042459F" w:rsidP="0042459F">
            <w:pPr>
              <w:pStyle w:val="TableParagraph"/>
              <w:ind w:right="581"/>
              <w:rPr>
                <w:color w:val="000000"/>
                <w:sz w:val="20"/>
                <w:szCs w:val="20"/>
                <w:lang w:val="en-GB"/>
              </w:rPr>
            </w:pPr>
          </w:p>
        </w:tc>
        <w:tc>
          <w:tcPr>
            <w:tcW w:w="1417" w:type="dxa"/>
          </w:tcPr>
          <w:p w14:paraId="75F3F0A0" w14:textId="03A523AF" w:rsidR="0042459F" w:rsidRPr="00AD7EBC" w:rsidRDefault="00C36D66" w:rsidP="0042459F">
            <w:pPr>
              <w:rPr>
                <w:color w:val="000000"/>
                <w:sz w:val="20"/>
                <w:szCs w:val="20"/>
                <w:lang w:val="en-GB"/>
              </w:rPr>
            </w:pPr>
            <w:r w:rsidRPr="00AD7EBC">
              <w:rPr>
                <w:color w:val="000000"/>
                <w:sz w:val="20"/>
                <w:szCs w:val="20"/>
                <w:lang w:val="en-GB"/>
              </w:rPr>
              <w:t>Household, schools</w:t>
            </w:r>
          </w:p>
        </w:tc>
        <w:tc>
          <w:tcPr>
            <w:tcW w:w="2127" w:type="dxa"/>
          </w:tcPr>
          <w:p w14:paraId="2A6310C7" w14:textId="1BAE6750" w:rsidR="00C36D66" w:rsidRPr="00AD7EBC" w:rsidRDefault="00C36D66" w:rsidP="00C36D66">
            <w:pPr>
              <w:rPr>
                <w:color w:val="000000"/>
                <w:sz w:val="20"/>
                <w:szCs w:val="20"/>
                <w:lang w:val="en-GB"/>
              </w:rPr>
            </w:pPr>
            <w:r w:rsidRPr="00AD7EBC">
              <w:rPr>
                <w:color w:val="000000"/>
                <w:sz w:val="20"/>
                <w:szCs w:val="20"/>
                <w:lang w:val="en-GB"/>
              </w:rPr>
              <w:t xml:space="preserve">List of bursary beneficiaries, and of schools receiving learning materials. </w:t>
            </w:r>
          </w:p>
          <w:p w14:paraId="0CBE3372" w14:textId="6731D8E4" w:rsidR="00C36D66" w:rsidRPr="00AD7EBC" w:rsidRDefault="00C36D66" w:rsidP="00C36D66">
            <w:pPr>
              <w:rPr>
                <w:color w:val="000000"/>
                <w:sz w:val="20"/>
                <w:szCs w:val="20"/>
                <w:lang w:val="en-GB"/>
              </w:rPr>
            </w:pPr>
          </w:p>
          <w:p w14:paraId="35877670" w14:textId="1D350F8A" w:rsidR="00C36D66" w:rsidRPr="00AD7EBC" w:rsidRDefault="00C36D66" w:rsidP="0042459F">
            <w:pPr>
              <w:rPr>
                <w:color w:val="000000"/>
                <w:sz w:val="20"/>
                <w:szCs w:val="20"/>
                <w:lang w:val="en-GB"/>
              </w:rPr>
            </w:pPr>
            <w:r w:rsidRPr="00AD7EBC">
              <w:rPr>
                <w:color w:val="000000"/>
                <w:sz w:val="20"/>
                <w:szCs w:val="20"/>
                <w:lang w:val="en-GB"/>
              </w:rPr>
              <w:t xml:space="preserve">Collected in person. </w:t>
            </w:r>
          </w:p>
        </w:tc>
        <w:tc>
          <w:tcPr>
            <w:tcW w:w="2268" w:type="dxa"/>
          </w:tcPr>
          <w:p w14:paraId="539171AC" w14:textId="77777777" w:rsidR="0042459F" w:rsidRPr="00AD7EBC" w:rsidRDefault="00C36D66" w:rsidP="0042459F">
            <w:pPr>
              <w:rPr>
                <w:color w:val="000000"/>
                <w:sz w:val="20"/>
                <w:szCs w:val="20"/>
                <w:lang w:val="en-GB"/>
              </w:rPr>
            </w:pPr>
            <w:r w:rsidRPr="00AD7EBC">
              <w:rPr>
                <w:color w:val="000000"/>
                <w:sz w:val="20"/>
                <w:szCs w:val="20"/>
                <w:lang w:val="en-GB"/>
              </w:rPr>
              <w:t xml:space="preserve">Girls witness they are better equipped in materials to learn at school. </w:t>
            </w:r>
          </w:p>
          <w:p w14:paraId="1B505F83" w14:textId="77777777" w:rsidR="0071113F" w:rsidRPr="00AD7EBC" w:rsidRDefault="0071113F" w:rsidP="0042459F">
            <w:pPr>
              <w:rPr>
                <w:color w:val="000000"/>
                <w:sz w:val="20"/>
                <w:szCs w:val="20"/>
                <w:lang w:val="en-GB"/>
              </w:rPr>
            </w:pPr>
          </w:p>
          <w:p w14:paraId="28D77FDB" w14:textId="37889C5D" w:rsidR="0071113F" w:rsidRPr="00AD7EBC" w:rsidRDefault="0071113F" w:rsidP="0042459F">
            <w:pPr>
              <w:rPr>
                <w:color w:val="000000"/>
                <w:sz w:val="20"/>
                <w:szCs w:val="20"/>
                <w:lang w:val="en-GB"/>
              </w:rPr>
            </w:pPr>
            <w:r w:rsidRPr="00AD7EBC">
              <w:rPr>
                <w:color w:val="000000"/>
                <w:sz w:val="20"/>
                <w:szCs w:val="20"/>
                <w:lang w:val="en-GB"/>
              </w:rPr>
              <w:t>This data will be used as secondary data by the EE to determine the effect of bursaries and learning materials on girls’ learning.</w:t>
            </w:r>
          </w:p>
        </w:tc>
        <w:tc>
          <w:tcPr>
            <w:tcW w:w="1701" w:type="dxa"/>
          </w:tcPr>
          <w:p w14:paraId="6E50ADE0" w14:textId="06A06A73" w:rsidR="0042459F" w:rsidRPr="00AD7EBC" w:rsidRDefault="00C36D66" w:rsidP="0042459F">
            <w:pPr>
              <w:rPr>
                <w:color w:val="000000"/>
                <w:sz w:val="20"/>
                <w:szCs w:val="20"/>
                <w:lang w:val="en-GB"/>
              </w:rPr>
            </w:pPr>
            <w:r w:rsidRPr="00AD7EBC">
              <w:rPr>
                <w:color w:val="000000"/>
                <w:sz w:val="20"/>
                <w:szCs w:val="20"/>
                <w:lang w:val="en-GB"/>
              </w:rPr>
              <w:t>Quarterly</w:t>
            </w:r>
            <w:r w:rsidR="0042459F" w:rsidRPr="00AD7EBC">
              <w:rPr>
                <w:color w:val="000000"/>
                <w:sz w:val="20"/>
                <w:szCs w:val="20"/>
                <w:lang w:val="en-GB"/>
              </w:rPr>
              <w:t xml:space="preserve"> </w:t>
            </w:r>
          </w:p>
        </w:tc>
      </w:tr>
      <w:tr w:rsidR="0042459F" w:rsidRPr="00AD7EBC" w14:paraId="1F290495" w14:textId="77777777" w:rsidTr="003F0C50">
        <w:trPr>
          <w:trHeight w:hRule="exact" w:val="3842"/>
        </w:trPr>
        <w:tc>
          <w:tcPr>
            <w:tcW w:w="1880" w:type="dxa"/>
          </w:tcPr>
          <w:p w14:paraId="2304BD65" w14:textId="77777777" w:rsidR="0042459F" w:rsidRPr="00AD7EBC" w:rsidRDefault="0042459F" w:rsidP="0042459F">
            <w:pPr>
              <w:pStyle w:val="TableParagraph"/>
              <w:ind w:right="581"/>
              <w:rPr>
                <w:sz w:val="20"/>
                <w:szCs w:val="20"/>
                <w:lang w:val="en-GB"/>
              </w:rPr>
            </w:pPr>
            <w:r w:rsidRPr="00AD7EBC">
              <w:rPr>
                <w:sz w:val="20"/>
                <w:szCs w:val="20"/>
                <w:lang w:val="en-GB"/>
              </w:rPr>
              <w:lastRenderedPageBreak/>
              <w:t>Output 4.1</w:t>
            </w:r>
          </w:p>
          <w:p w14:paraId="07E28CCF" w14:textId="4957F267" w:rsidR="0042459F" w:rsidRPr="00AD7EBC" w:rsidRDefault="008B78B6" w:rsidP="0042459F">
            <w:pPr>
              <w:pStyle w:val="TableParagraph"/>
              <w:ind w:right="581"/>
              <w:rPr>
                <w:sz w:val="20"/>
                <w:szCs w:val="20"/>
                <w:lang w:val="en-GB"/>
              </w:rPr>
            </w:pPr>
            <w:r w:rsidRPr="00AD7EBC">
              <w:rPr>
                <w:sz w:val="20"/>
                <w:szCs w:val="20"/>
                <w:lang w:val="en-GB"/>
              </w:rPr>
              <w:t>Teachers and mentors promoting good practice in SRH more often and with more confidence</w:t>
            </w:r>
          </w:p>
        </w:tc>
        <w:tc>
          <w:tcPr>
            <w:tcW w:w="1417" w:type="dxa"/>
          </w:tcPr>
          <w:p w14:paraId="5CB16CBC" w14:textId="040C31AA" w:rsidR="0042459F" w:rsidRPr="00AD7EBC" w:rsidRDefault="0071113F" w:rsidP="0042459F">
            <w:pPr>
              <w:rPr>
                <w:sz w:val="20"/>
                <w:szCs w:val="20"/>
                <w:lang w:val="en-GB"/>
              </w:rPr>
            </w:pPr>
            <w:r w:rsidRPr="00AD7EBC">
              <w:rPr>
                <w:sz w:val="20"/>
                <w:szCs w:val="20"/>
                <w:lang w:val="en-GB"/>
              </w:rPr>
              <w:t>School</w:t>
            </w:r>
          </w:p>
          <w:p w14:paraId="1DA55459" w14:textId="77777777" w:rsidR="0042459F" w:rsidRPr="00AD7EBC" w:rsidRDefault="0042459F" w:rsidP="0042459F">
            <w:pPr>
              <w:rPr>
                <w:sz w:val="20"/>
                <w:szCs w:val="20"/>
                <w:lang w:val="en-GB"/>
              </w:rPr>
            </w:pPr>
          </w:p>
        </w:tc>
        <w:tc>
          <w:tcPr>
            <w:tcW w:w="2127" w:type="dxa"/>
          </w:tcPr>
          <w:p w14:paraId="1F997F3E" w14:textId="77777777" w:rsidR="0071113F" w:rsidRPr="00AD7EBC" w:rsidRDefault="0071113F" w:rsidP="0042459F">
            <w:pPr>
              <w:rPr>
                <w:color w:val="000000"/>
                <w:sz w:val="20"/>
                <w:szCs w:val="20"/>
                <w:lang w:val="en-GB"/>
              </w:rPr>
            </w:pPr>
            <w:r w:rsidRPr="00AD7EBC">
              <w:rPr>
                <w:color w:val="000000"/>
                <w:sz w:val="20"/>
                <w:szCs w:val="20"/>
                <w:lang w:val="en-GB"/>
              </w:rPr>
              <w:t>KAP study</w:t>
            </w:r>
          </w:p>
          <w:p w14:paraId="4E5BFF8E" w14:textId="4BA8F7DB" w:rsidR="0042459F" w:rsidRPr="00AD7EBC" w:rsidRDefault="0071113F" w:rsidP="0071113F">
            <w:pPr>
              <w:rPr>
                <w:color w:val="000000"/>
                <w:sz w:val="20"/>
                <w:szCs w:val="20"/>
                <w:lang w:val="en-GB"/>
              </w:rPr>
            </w:pPr>
            <w:r w:rsidRPr="00AD7EBC">
              <w:rPr>
                <w:color w:val="000000"/>
                <w:sz w:val="20"/>
                <w:szCs w:val="20"/>
                <w:lang w:val="en-GB"/>
              </w:rPr>
              <w:t>Classroom observations by field officers and EPSP (school inspectors)</w:t>
            </w:r>
          </w:p>
          <w:p w14:paraId="3A67D0F0" w14:textId="77777777" w:rsidR="0042459F" w:rsidRPr="00AD7EBC" w:rsidRDefault="0042459F" w:rsidP="0042459F">
            <w:pPr>
              <w:rPr>
                <w:sz w:val="20"/>
                <w:szCs w:val="20"/>
                <w:lang w:val="en-GB"/>
              </w:rPr>
            </w:pPr>
          </w:p>
          <w:p w14:paraId="3BC765AC" w14:textId="2ACEF866" w:rsidR="0042459F" w:rsidRPr="00AD7EBC" w:rsidRDefault="009805F5" w:rsidP="0042459F">
            <w:pPr>
              <w:rPr>
                <w:sz w:val="20"/>
                <w:szCs w:val="20"/>
                <w:lang w:val="en-GB"/>
              </w:rPr>
            </w:pPr>
            <w:r w:rsidRPr="00AD7EBC">
              <w:rPr>
                <w:sz w:val="20"/>
                <w:szCs w:val="20"/>
                <w:lang w:val="en-GB"/>
              </w:rPr>
              <w:t>Disaggregated by sex</w:t>
            </w:r>
          </w:p>
          <w:p w14:paraId="6B945332" w14:textId="77777777" w:rsidR="0042459F" w:rsidRPr="00AD7EBC" w:rsidRDefault="0042459F" w:rsidP="0042459F">
            <w:pPr>
              <w:rPr>
                <w:sz w:val="20"/>
                <w:szCs w:val="20"/>
                <w:lang w:val="en-GB"/>
              </w:rPr>
            </w:pPr>
          </w:p>
          <w:p w14:paraId="34488B98" w14:textId="77777777" w:rsidR="0042459F" w:rsidRPr="00AD7EBC" w:rsidRDefault="0042459F" w:rsidP="0042459F">
            <w:pPr>
              <w:rPr>
                <w:sz w:val="20"/>
                <w:szCs w:val="20"/>
                <w:lang w:val="en-GB"/>
              </w:rPr>
            </w:pPr>
          </w:p>
          <w:p w14:paraId="5E200562" w14:textId="77777777" w:rsidR="0042459F" w:rsidRPr="00AD7EBC" w:rsidRDefault="0042459F" w:rsidP="0042459F">
            <w:pPr>
              <w:rPr>
                <w:sz w:val="20"/>
                <w:szCs w:val="20"/>
                <w:lang w:val="en-GB"/>
              </w:rPr>
            </w:pPr>
          </w:p>
        </w:tc>
        <w:tc>
          <w:tcPr>
            <w:tcW w:w="2268" w:type="dxa"/>
          </w:tcPr>
          <w:p w14:paraId="5CE1AEA8" w14:textId="77777777" w:rsidR="0042459F" w:rsidRPr="00AD7EBC" w:rsidRDefault="0071113F" w:rsidP="0042459F">
            <w:pPr>
              <w:rPr>
                <w:sz w:val="20"/>
                <w:szCs w:val="20"/>
                <w:lang w:val="en-GB"/>
              </w:rPr>
            </w:pPr>
            <w:r w:rsidRPr="00AD7EBC">
              <w:rPr>
                <w:sz w:val="20"/>
                <w:szCs w:val="20"/>
                <w:lang w:val="en-GB"/>
              </w:rPr>
              <w:t xml:space="preserve">A KAP study will be able to determine changes in attitudes and practices of teachers and mentors in their classroom. </w:t>
            </w:r>
          </w:p>
          <w:p w14:paraId="417947B1" w14:textId="77777777" w:rsidR="0071113F" w:rsidRPr="00AD7EBC" w:rsidRDefault="0071113F" w:rsidP="0042459F">
            <w:pPr>
              <w:rPr>
                <w:sz w:val="20"/>
                <w:szCs w:val="20"/>
                <w:lang w:val="en-GB"/>
              </w:rPr>
            </w:pPr>
          </w:p>
          <w:p w14:paraId="56FFC9E9" w14:textId="77777777" w:rsidR="0071113F" w:rsidRPr="00AD7EBC" w:rsidRDefault="0071113F" w:rsidP="0071113F">
            <w:pPr>
              <w:ind w:left="135"/>
              <w:rPr>
                <w:color w:val="000000"/>
                <w:sz w:val="20"/>
                <w:szCs w:val="20"/>
                <w:lang w:val="en-GB"/>
              </w:rPr>
            </w:pPr>
            <w:r w:rsidRPr="00AD7EBC">
              <w:rPr>
                <w:color w:val="000000"/>
                <w:sz w:val="20"/>
                <w:szCs w:val="20"/>
                <w:lang w:val="en-GB"/>
              </w:rPr>
              <w:t xml:space="preserve">The data collected will be analysed by the project staff and used during project meetings to show trends, discuss remedial measures if necessary to enable adaptive management throughout the life of the project. </w:t>
            </w:r>
          </w:p>
          <w:p w14:paraId="0D7B5F2A" w14:textId="5D8E91B9" w:rsidR="0071113F" w:rsidRPr="00AD7EBC" w:rsidRDefault="0071113F" w:rsidP="0042459F">
            <w:pPr>
              <w:rPr>
                <w:sz w:val="20"/>
                <w:szCs w:val="20"/>
                <w:lang w:val="en-GB"/>
              </w:rPr>
            </w:pPr>
          </w:p>
        </w:tc>
        <w:tc>
          <w:tcPr>
            <w:tcW w:w="1701" w:type="dxa"/>
          </w:tcPr>
          <w:p w14:paraId="50FE8A93" w14:textId="5E21EA27" w:rsidR="0042459F" w:rsidRPr="00AD7EBC" w:rsidRDefault="0071113F" w:rsidP="0042459F">
            <w:pPr>
              <w:rPr>
                <w:sz w:val="20"/>
                <w:szCs w:val="20"/>
                <w:lang w:val="en-GB"/>
              </w:rPr>
            </w:pPr>
            <w:r w:rsidRPr="00AD7EBC">
              <w:rPr>
                <w:sz w:val="20"/>
                <w:szCs w:val="20"/>
                <w:lang w:val="en-GB"/>
              </w:rPr>
              <w:t xml:space="preserve">Quarterly from </w:t>
            </w:r>
            <w:r w:rsidR="0042459F" w:rsidRPr="00AD7EBC">
              <w:rPr>
                <w:sz w:val="20"/>
                <w:szCs w:val="20"/>
                <w:lang w:val="en-GB"/>
              </w:rPr>
              <w:t>Q2 2018</w:t>
            </w:r>
          </w:p>
          <w:p w14:paraId="50170BB5" w14:textId="77777777" w:rsidR="0042459F" w:rsidRPr="00AD7EBC" w:rsidRDefault="0042459F" w:rsidP="0042459F">
            <w:pPr>
              <w:rPr>
                <w:sz w:val="20"/>
                <w:szCs w:val="20"/>
                <w:lang w:val="en-GB"/>
              </w:rPr>
            </w:pPr>
          </w:p>
        </w:tc>
      </w:tr>
      <w:tr w:rsidR="0042459F" w:rsidRPr="00AD7EBC" w14:paraId="2776FBAC" w14:textId="77777777" w:rsidTr="005B370E">
        <w:trPr>
          <w:trHeight w:hRule="exact" w:val="3267"/>
        </w:trPr>
        <w:tc>
          <w:tcPr>
            <w:tcW w:w="1880" w:type="dxa"/>
          </w:tcPr>
          <w:p w14:paraId="03A19C34" w14:textId="77777777" w:rsidR="0042459F" w:rsidRPr="00AD7EBC" w:rsidRDefault="0042459F" w:rsidP="0042459F">
            <w:pPr>
              <w:pStyle w:val="TableParagraph"/>
              <w:ind w:right="581"/>
              <w:rPr>
                <w:sz w:val="20"/>
                <w:szCs w:val="20"/>
                <w:lang w:val="en-GB"/>
              </w:rPr>
            </w:pPr>
            <w:r w:rsidRPr="00AD7EBC">
              <w:rPr>
                <w:sz w:val="20"/>
                <w:szCs w:val="20"/>
                <w:lang w:val="en-GB"/>
              </w:rPr>
              <w:t>Output 4.2</w:t>
            </w:r>
          </w:p>
          <w:p w14:paraId="69F222B9" w14:textId="2E1F5A3E" w:rsidR="0042459F" w:rsidRPr="00AD7EBC" w:rsidRDefault="0042459F" w:rsidP="0042459F">
            <w:pPr>
              <w:pStyle w:val="TableParagraph"/>
              <w:ind w:right="581"/>
              <w:rPr>
                <w:sz w:val="20"/>
                <w:szCs w:val="20"/>
                <w:lang w:val="en-GB"/>
              </w:rPr>
            </w:pPr>
            <w:r w:rsidRPr="00AD7EBC">
              <w:rPr>
                <w:sz w:val="20"/>
                <w:szCs w:val="20"/>
                <w:lang w:val="en-GB"/>
              </w:rPr>
              <w:t>Proportion of Child Protection cases reported in the last term being responded to within the timeframe set by hotline guidelines</w:t>
            </w:r>
          </w:p>
        </w:tc>
        <w:tc>
          <w:tcPr>
            <w:tcW w:w="1417" w:type="dxa"/>
          </w:tcPr>
          <w:p w14:paraId="092AF704" w14:textId="7D5E9481" w:rsidR="0042459F" w:rsidRPr="00AD7EBC" w:rsidRDefault="0042459F" w:rsidP="0042459F">
            <w:pPr>
              <w:rPr>
                <w:sz w:val="20"/>
                <w:szCs w:val="20"/>
                <w:lang w:val="en-GB"/>
              </w:rPr>
            </w:pPr>
          </w:p>
          <w:p w14:paraId="505305D5" w14:textId="77777777" w:rsidR="0042459F" w:rsidRPr="00AD7EBC" w:rsidRDefault="0042459F" w:rsidP="0042459F">
            <w:pPr>
              <w:rPr>
                <w:sz w:val="20"/>
                <w:szCs w:val="20"/>
                <w:lang w:val="en-GB"/>
              </w:rPr>
            </w:pPr>
          </w:p>
        </w:tc>
        <w:tc>
          <w:tcPr>
            <w:tcW w:w="2127" w:type="dxa"/>
          </w:tcPr>
          <w:p w14:paraId="04708697" w14:textId="32EC3606" w:rsidR="005B370E" w:rsidRPr="00AD7EBC" w:rsidRDefault="009805F5" w:rsidP="0042459F">
            <w:pPr>
              <w:rPr>
                <w:sz w:val="20"/>
                <w:szCs w:val="20"/>
                <w:lang w:val="en-GB"/>
              </w:rPr>
            </w:pPr>
            <w:r w:rsidRPr="00AD7EBC">
              <w:rPr>
                <w:sz w:val="20"/>
                <w:szCs w:val="20"/>
                <w:lang w:val="en-GB"/>
              </w:rPr>
              <w:t xml:space="preserve">Record of </w:t>
            </w:r>
            <w:r w:rsidR="005B370E" w:rsidRPr="00AD7EBC">
              <w:rPr>
                <w:sz w:val="20"/>
                <w:szCs w:val="20"/>
                <w:lang w:val="en-GB"/>
              </w:rPr>
              <w:t>C</w:t>
            </w:r>
            <w:r w:rsidRPr="00AD7EBC">
              <w:rPr>
                <w:sz w:val="20"/>
                <w:szCs w:val="20"/>
                <w:lang w:val="en-GB"/>
              </w:rPr>
              <w:t xml:space="preserve">hild </w:t>
            </w:r>
            <w:r w:rsidR="005B370E" w:rsidRPr="00AD7EBC">
              <w:rPr>
                <w:sz w:val="20"/>
                <w:szCs w:val="20"/>
                <w:lang w:val="en-GB"/>
              </w:rPr>
              <w:t>P</w:t>
            </w:r>
            <w:r w:rsidRPr="00AD7EBC">
              <w:rPr>
                <w:sz w:val="20"/>
                <w:szCs w:val="20"/>
                <w:lang w:val="en-GB"/>
              </w:rPr>
              <w:t>rotection (CP)</w:t>
            </w:r>
            <w:r w:rsidR="005B370E" w:rsidRPr="00AD7EBC">
              <w:rPr>
                <w:sz w:val="20"/>
                <w:szCs w:val="20"/>
                <w:lang w:val="en-GB"/>
              </w:rPr>
              <w:t xml:space="preserve"> case</w:t>
            </w:r>
            <w:r w:rsidRPr="00AD7EBC">
              <w:rPr>
                <w:sz w:val="20"/>
                <w:szCs w:val="20"/>
                <w:lang w:val="en-GB"/>
              </w:rPr>
              <w:t xml:space="preserve"> management</w:t>
            </w:r>
            <w:r w:rsidR="005B370E" w:rsidRPr="00AD7EBC">
              <w:rPr>
                <w:sz w:val="20"/>
                <w:szCs w:val="20"/>
                <w:lang w:val="en-GB"/>
              </w:rPr>
              <w:t xml:space="preserve"> </w:t>
            </w:r>
          </w:p>
          <w:p w14:paraId="4FFA27F1" w14:textId="77777777" w:rsidR="005B370E" w:rsidRPr="00AD7EBC" w:rsidRDefault="005B370E" w:rsidP="0042459F">
            <w:pPr>
              <w:rPr>
                <w:sz w:val="20"/>
                <w:szCs w:val="20"/>
                <w:lang w:val="en-GB"/>
              </w:rPr>
            </w:pPr>
          </w:p>
          <w:p w14:paraId="5C5D775D" w14:textId="77777777" w:rsidR="005B370E" w:rsidRPr="00AD7EBC" w:rsidRDefault="005B370E" w:rsidP="0042459F">
            <w:pPr>
              <w:rPr>
                <w:sz w:val="20"/>
                <w:szCs w:val="20"/>
                <w:lang w:val="en-GB"/>
              </w:rPr>
            </w:pPr>
            <w:r w:rsidRPr="00AD7EBC">
              <w:rPr>
                <w:sz w:val="20"/>
                <w:szCs w:val="20"/>
                <w:lang w:val="en-GB"/>
              </w:rPr>
              <w:t xml:space="preserve">Collected in person by CP focal point. </w:t>
            </w:r>
          </w:p>
          <w:p w14:paraId="18CE90AA" w14:textId="77777777" w:rsidR="005B370E" w:rsidRPr="00AD7EBC" w:rsidRDefault="005B370E" w:rsidP="0042459F">
            <w:pPr>
              <w:rPr>
                <w:sz w:val="20"/>
                <w:szCs w:val="20"/>
                <w:lang w:val="en-GB"/>
              </w:rPr>
            </w:pPr>
          </w:p>
          <w:p w14:paraId="1C138AC2" w14:textId="11E9B33A" w:rsidR="0042459F" w:rsidRPr="00AD7EBC" w:rsidRDefault="005B370E" w:rsidP="0042459F">
            <w:pPr>
              <w:rPr>
                <w:sz w:val="20"/>
                <w:szCs w:val="20"/>
                <w:lang w:val="en-GB"/>
              </w:rPr>
            </w:pPr>
            <w:r w:rsidRPr="00AD7EBC">
              <w:rPr>
                <w:sz w:val="20"/>
                <w:szCs w:val="20"/>
                <w:lang w:val="en-GB"/>
              </w:rPr>
              <w:t>Disaggregated by sex.</w:t>
            </w:r>
          </w:p>
        </w:tc>
        <w:tc>
          <w:tcPr>
            <w:tcW w:w="2268" w:type="dxa"/>
          </w:tcPr>
          <w:p w14:paraId="34BEE7CE" w14:textId="6A912DD1" w:rsidR="0042459F" w:rsidRPr="00AD7EBC" w:rsidRDefault="009805F5" w:rsidP="0042459F">
            <w:pPr>
              <w:rPr>
                <w:sz w:val="20"/>
                <w:szCs w:val="20"/>
                <w:lang w:val="en-GB"/>
              </w:rPr>
            </w:pPr>
            <w:r w:rsidRPr="00AD7EBC">
              <w:rPr>
                <w:sz w:val="20"/>
                <w:szCs w:val="20"/>
                <w:lang w:val="en-GB"/>
              </w:rPr>
              <w:t xml:space="preserve">All Child Protection cases data will be handled and managed confidentially by the project CP advisor and focal point. </w:t>
            </w:r>
          </w:p>
        </w:tc>
        <w:tc>
          <w:tcPr>
            <w:tcW w:w="1701" w:type="dxa"/>
          </w:tcPr>
          <w:p w14:paraId="1ACF8D93" w14:textId="40296D4B" w:rsidR="0042459F" w:rsidRPr="00AD7EBC" w:rsidRDefault="005B370E" w:rsidP="0042459F">
            <w:pPr>
              <w:rPr>
                <w:sz w:val="20"/>
                <w:szCs w:val="20"/>
                <w:lang w:val="en-GB"/>
              </w:rPr>
            </w:pPr>
            <w:r w:rsidRPr="00AD7EBC">
              <w:rPr>
                <w:sz w:val="20"/>
                <w:szCs w:val="20"/>
                <w:lang w:val="en-GB"/>
              </w:rPr>
              <w:t>Quarterly</w:t>
            </w:r>
          </w:p>
        </w:tc>
      </w:tr>
      <w:tr w:rsidR="0042459F" w:rsidRPr="00AD7EBC" w14:paraId="0EE2A81C" w14:textId="77777777" w:rsidTr="009805F5">
        <w:trPr>
          <w:trHeight w:hRule="exact" w:val="3855"/>
        </w:trPr>
        <w:tc>
          <w:tcPr>
            <w:tcW w:w="1880" w:type="dxa"/>
          </w:tcPr>
          <w:p w14:paraId="1AA1C2F6" w14:textId="77777777" w:rsidR="0042459F" w:rsidRPr="00AD7EBC" w:rsidRDefault="0042459F" w:rsidP="0042459F">
            <w:pPr>
              <w:pStyle w:val="TableParagraph"/>
              <w:ind w:right="581"/>
              <w:rPr>
                <w:sz w:val="20"/>
                <w:szCs w:val="20"/>
                <w:lang w:val="en-GB"/>
              </w:rPr>
            </w:pPr>
            <w:r w:rsidRPr="00AD7EBC">
              <w:rPr>
                <w:sz w:val="20"/>
                <w:szCs w:val="20"/>
                <w:lang w:val="en-GB"/>
              </w:rPr>
              <w:t>Output 4.3</w:t>
            </w:r>
          </w:p>
          <w:p w14:paraId="4AC12A2A" w14:textId="0432BB3D" w:rsidR="0042459F" w:rsidRPr="00AD7EBC" w:rsidRDefault="007D11B8" w:rsidP="0042459F">
            <w:pPr>
              <w:pStyle w:val="TableParagraph"/>
              <w:ind w:right="581"/>
              <w:rPr>
                <w:sz w:val="20"/>
                <w:szCs w:val="20"/>
                <w:lang w:val="en-GB"/>
              </w:rPr>
            </w:pPr>
            <w:r w:rsidRPr="00AD7EBC">
              <w:rPr>
                <w:sz w:val="20"/>
                <w:szCs w:val="20"/>
                <w:lang w:val="en-GB"/>
              </w:rPr>
              <w:t>% of boys and girls in school clubs who report better knowledge, attitudes, skills and behaviours around puberty and SRH</w:t>
            </w:r>
          </w:p>
        </w:tc>
        <w:tc>
          <w:tcPr>
            <w:tcW w:w="1417" w:type="dxa"/>
          </w:tcPr>
          <w:p w14:paraId="6F7B5C14" w14:textId="1192A4A5" w:rsidR="0042459F" w:rsidRPr="00AD7EBC" w:rsidRDefault="007D11B8" w:rsidP="0042459F">
            <w:pPr>
              <w:rPr>
                <w:sz w:val="20"/>
                <w:szCs w:val="20"/>
                <w:lang w:val="en-GB"/>
              </w:rPr>
            </w:pPr>
            <w:r w:rsidRPr="00AD7EBC">
              <w:rPr>
                <w:sz w:val="20"/>
                <w:szCs w:val="20"/>
                <w:lang w:val="en-GB"/>
              </w:rPr>
              <w:t>School clubs</w:t>
            </w:r>
          </w:p>
        </w:tc>
        <w:tc>
          <w:tcPr>
            <w:tcW w:w="2127" w:type="dxa"/>
          </w:tcPr>
          <w:p w14:paraId="6A886EC3" w14:textId="3601F06A" w:rsidR="0042459F" w:rsidRPr="00AD7EBC" w:rsidRDefault="007D11B8" w:rsidP="0042459F">
            <w:pPr>
              <w:rPr>
                <w:sz w:val="20"/>
                <w:szCs w:val="20"/>
                <w:lang w:val="en-GB"/>
              </w:rPr>
            </w:pPr>
            <w:r w:rsidRPr="00AD7EBC">
              <w:rPr>
                <w:sz w:val="20"/>
                <w:szCs w:val="20"/>
                <w:lang w:val="en-GB"/>
              </w:rPr>
              <w:t xml:space="preserve">KAP </w:t>
            </w:r>
            <w:r w:rsidR="009805F5" w:rsidRPr="00AD7EBC">
              <w:rPr>
                <w:sz w:val="20"/>
                <w:szCs w:val="20"/>
                <w:lang w:val="en-GB"/>
              </w:rPr>
              <w:t>study</w:t>
            </w:r>
          </w:p>
          <w:p w14:paraId="10492E8C" w14:textId="0A6C574B" w:rsidR="007D11B8" w:rsidRPr="00AD7EBC" w:rsidRDefault="007D11B8" w:rsidP="0042459F">
            <w:pPr>
              <w:rPr>
                <w:sz w:val="20"/>
                <w:szCs w:val="20"/>
                <w:lang w:val="en-GB"/>
              </w:rPr>
            </w:pPr>
          </w:p>
          <w:p w14:paraId="795D88B9" w14:textId="24078D7A" w:rsidR="007D11B8" w:rsidRPr="00AD7EBC" w:rsidRDefault="007D11B8" w:rsidP="0042459F">
            <w:pPr>
              <w:rPr>
                <w:sz w:val="20"/>
                <w:szCs w:val="20"/>
                <w:lang w:val="en-GB"/>
              </w:rPr>
            </w:pPr>
            <w:r w:rsidRPr="00AD7EBC">
              <w:rPr>
                <w:sz w:val="20"/>
                <w:szCs w:val="20"/>
                <w:lang w:val="en-GB"/>
              </w:rPr>
              <w:t>Collected in person</w:t>
            </w:r>
          </w:p>
          <w:p w14:paraId="50CB3AF1" w14:textId="6C3328F0" w:rsidR="007D11B8" w:rsidRPr="00AD7EBC" w:rsidRDefault="007D11B8" w:rsidP="0042459F">
            <w:pPr>
              <w:rPr>
                <w:sz w:val="20"/>
                <w:szCs w:val="20"/>
                <w:lang w:val="en-GB"/>
              </w:rPr>
            </w:pPr>
          </w:p>
          <w:p w14:paraId="01B67A99" w14:textId="16672480" w:rsidR="007D11B8" w:rsidRPr="00AD7EBC" w:rsidRDefault="009805F5" w:rsidP="0042459F">
            <w:pPr>
              <w:rPr>
                <w:sz w:val="20"/>
                <w:szCs w:val="20"/>
                <w:lang w:val="en-GB"/>
              </w:rPr>
            </w:pPr>
            <w:r w:rsidRPr="00AD7EBC">
              <w:rPr>
                <w:sz w:val="20"/>
                <w:szCs w:val="20"/>
                <w:lang w:val="en-GB"/>
              </w:rPr>
              <w:t>Disaggregated</w:t>
            </w:r>
            <w:r w:rsidR="007D11B8" w:rsidRPr="00AD7EBC">
              <w:rPr>
                <w:sz w:val="20"/>
                <w:szCs w:val="20"/>
                <w:lang w:val="en-GB"/>
              </w:rPr>
              <w:t xml:space="preserve"> by sex. </w:t>
            </w:r>
          </w:p>
          <w:p w14:paraId="0F0E26A7" w14:textId="77777777" w:rsidR="0042459F" w:rsidRPr="00AD7EBC" w:rsidRDefault="0042459F" w:rsidP="0042459F">
            <w:pPr>
              <w:rPr>
                <w:sz w:val="20"/>
                <w:szCs w:val="20"/>
                <w:lang w:val="en-GB"/>
              </w:rPr>
            </w:pPr>
          </w:p>
        </w:tc>
        <w:tc>
          <w:tcPr>
            <w:tcW w:w="2268" w:type="dxa"/>
          </w:tcPr>
          <w:p w14:paraId="5A6B4296" w14:textId="77777777" w:rsidR="0042459F" w:rsidRPr="00AD7EBC" w:rsidRDefault="007D11B8" w:rsidP="0042459F">
            <w:pPr>
              <w:rPr>
                <w:sz w:val="20"/>
                <w:szCs w:val="20"/>
                <w:lang w:val="en-GB"/>
              </w:rPr>
            </w:pPr>
            <w:r w:rsidRPr="00AD7EBC">
              <w:rPr>
                <w:sz w:val="20"/>
                <w:szCs w:val="20"/>
                <w:lang w:val="en-GB"/>
              </w:rPr>
              <w:t xml:space="preserve">Best way to capture a change in KAP </w:t>
            </w:r>
            <w:r w:rsidR="00221D53" w:rsidRPr="00AD7EBC">
              <w:rPr>
                <w:sz w:val="20"/>
                <w:szCs w:val="20"/>
                <w:lang w:val="en-GB"/>
              </w:rPr>
              <w:t>and ensure children are benefitting from the school clubs</w:t>
            </w:r>
            <w:r w:rsidR="009805F5" w:rsidRPr="00AD7EBC">
              <w:rPr>
                <w:sz w:val="20"/>
                <w:szCs w:val="20"/>
                <w:lang w:val="en-GB"/>
              </w:rPr>
              <w:t xml:space="preserve">. </w:t>
            </w:r>
          </w:p>
          <w:p w14:paraId="0D391C55" w14:textId="77777777" w:rsidR="009805F5" w:rsidRPr="00AD7EBC" w:rsidRDefault="009805F5" w:rsidP="0042459F">
            <w:pPr>
              <w:rPr>
                <w:sz w:val="20"/>
                <w:szCs w:val="20"/>
                <w:lang w:val="en-GB"/>
              </w:rPr>
            </w:pPr>
          </w:p>
          <w:p w14:paraId="5AE7E1B5" w14:textId="77777777" w:rsidR="009805F5" w:rsidRPr="00AD7EBC" w:rsidRDefault="009805F5" w:rsidP="009805F5">
            <w:pPr>
              <w:ind w:left="135"/>
              <w:rPr>
                <w:color w:val="000000"/>
                <w:sz w:val="20"/>
                <w:szCs w:val="20"/>
                <w:lang w:val="en-GB"/>
              </w:rPr>
            </w:pPr>
            <w:r w:rsidRPr="00AD7EBC">
              <w:rPr>
                <w:color w:val="000000"/>
                <w:sz w:val="20"/>
                <w:szCs w:val="20"/>
                <w:lang w:val="en-GB"/>
              </w:rPr>
              <w:t xml:space="preserve">The data collected will be analysed by the project staff and used during project meetings to show trends, discuss remedial measures if necessary to enable adaptive management throughout the life of the project. </w:t>
            </w:r>
          </w:p>
          <w:p w14:paraId="2CED9927" w14:textId="71CAD422" w:rsidR="009805F5" w:rsidRPr="00AD7EBC" w:rsidRDefault="009805F5" w:rsidP="0042459F">
            <w:pPr>
              <w:rPr>
                <w:sz w:val="20"/>
                <w:szCs w:val="20"/>
                <w:lang w:val="en-GB"/>
              </w:rPr>
            </w:pPr>
          </w:p>
        </w:tc>
        <w:tc>
          <w:tcPr>
            <w:tcW w:w="1701" w:type="dxa"/>
          </w:tcPr>
          <w:p w14:paraId="321947C2" w14:textId="6BFA78C1" w:rsidR="0042459F" w:rsidRPr="00AD7EBC" w:rsidRDefault="00221D53" w:rsidP="0042459F">
            <w:pPr>
              <w:rPr>
                <w:sz w:val="20"/>
                <w:szCs w:val="20"/>
                <w:lang w:val="en-GB"/>
              </w:rPr>
            </w:pPr>
            <w:r w:rsidRPr="00AD7EBC">
              <w:rPr>
                <w:sz w:val="20"/>
                <w:szCs w:val="20"/>
                <w:lang w:val="en-GB"/>
              </w:rPr>
              <w:t>Bi-annually</w:t>
            </w:r>
          </w:p>
        </w:tc>
      </w:tr>
      <w:tr w:rsidR="0042459F" w:rsidRPr="00AD7EBC" w14:paraId="47502462" w14:textId="77777777" w:rsidTr="00221D53">
        <w:trPr>
          <w:trHeight w:hRule="exact" w:val="2290"/>
        </w:trPr>
        <w:tc>
          <w:tcPr>
            <w:tcW w:w="1880" w:type="dxa"/>
          </w:tcPr>
          <w:p w14:paraId="2857EA5A" w14:textId="77777777" w:rsidR="0042459F" w:rsidRPr="00AD7EBC" w:rsidRDefault="0042459F" w:rsidP="0042459F">
            <w:pPr>
              <w:pStyle w:val="TableParagraph"/>
              <w:ind w:right="581"/>
              <w:rPr>
                <w:sz w:val="20"/>
                <w:szCs w:val="20"/>
                <w:lang w:val="en-GB"/>
              </w:rPr>
            </w:pPr>
            <w:r w:rsidRPr="00AD7EBC">
              <w:rPr>
                <w:sz w:val="20"/>
                <w:szCs w:val="20"/>
                <w:lang w:val="en-GB"/>
              </w:rPr>
              <w:lastRenderedPageBreak/>
              <w:t>Output 5.1</w:t>
            </w:r>
          </w:p>
          <w:p w14:paraId="4FC650AB" w14:textId="77777777" w:rsidR="0042459F" w:rsidRPr="00AD7EBC" w:rsidRDefault="0042459F" w:rsidP="0042459F">
            <w:pPr>
              <w:pStyle w:val="TableParagraph"/>
              <w:ind w:right="581"/>
              <w:rPr>
                <w:sz w:val="20"/>
                <w:szCs w:val="20"/>
                <w:lang w:val="en-GB"/>
              </w:rPr>
            </w:pPr>
            <w:r w:rsidRPr="00AD7EBC">
              <w:rPr>
                <w:sz w:val="20"/>
                <w:szCs w:val="20"/>
                <w:lang w:val="en-GB"/>
              </w:rPr>
              <w:t># of girls receiving bursaries attending school regularly (80% of days)</w:t>
            </w:r>
          </w:p>
        </w:tc>
        <w:tc>
          <w:tcPr>
            <w:tcW w:w="1417" w:type="dxa"/>
          </w:tcPr>
          <w:p w14:paraId="06117F06" w14:textId="1ED982CA" w:rsidR="0042459F" w:rsidRPr="00AD7EBC" w:rsidRDefault="008B78B6" w:rsidP="0042459F">
            <w:pPr>
              <w:rPr>
                <w:color w:val="000000"/>
                <w:sz w:val="20"/>
                <w:szCs w:val="20"/>
                <w:lang w:val="en-GB"/>
              </w:rPr>
            </w:pPr>
            <w:r w:rsidRPr="00AD7EBC">
              <w:rPr>
                <w:color w:val="000000"/>
                <w:sz w:val="20"/>
                <w:szCs w:val="20"/>
                <w:lang w:val="en-GB"/>
              </w:rPr>
              <w:t>Schools</w:t>
            </w:r>
          </w:p>
          <w:p w14:paraId="6842C6EB" w14:textId="77777777" w:rsidR="0042459F" w:rsidRPr="00AD7EBC" w:rsidRDefault="0042459F" w:rsidP="0042459F">
            <w:pPr>
              <w:rPr>
                <w:sz w:val="20"/>
                <w:szCs w:val="20"/>
                <w:lang w:val="en-GB"/>
              </w:rPr>
            </w:pPr>
          </w:p>
        </w:tc>
        <w:tc>
          <w:tcPr>
            <w:tcW w:w="2127" w:type="dxa"/>
          </w:tcPr>
          <w:p w14:paraId="64D618FC" w14:textId="0741126F" w:rsidR="0042459F" w:rsidRPr="00AD7EBC" w:rsidRDefault="0042459F" w:rsidP="0042459F">
            <w:pPr>
              <w:rPr>
                <w:color w:val="000000"/>
                <w:sz w:val="20"/>
                <w:szCs w:val="20"/>
                <w:lang w:val="en-GB"/>
              </w:rPr>
            </w:pPr>
            <w:r w:rsidRPr="00AD7EBC">
              <w:rPr>
                <w:color w:val="000000"/>
                <w:sz w:val="20"/>
                <w:szCs w:val="20"/>
                <w:lang w:val="en-GB"/>
              </w:rPr>
              <w:t xml:space="preserve">Copies </w:t>
            </w:r>
            <w:r w:rsidR="008B78B6" w:rsidRPr="00AD7EBC">
              <w:rPr>
                <w:color w:val="000000"/>
                <w:sz w:val="20"/>
                <w:szCs w:val="20"/>
                <w:lang w:val="en-GB"/>
              </w:rPr>
              <w:t xml:space="preserve">of bank receipt / transfer; attendance record of girls in school. </w:t>
            </w:r>
          </w:p>
          <w:p w14:paraId="1E3FA8B7" w14:textId="77777777" w:rsidR="0042459F" w:rsidRPr="00AD7EBC" w:rsidRDefault="0042459F" w:rsidP="0042459F">
            <w:pPr>
              <w:rPr>
                <w:color w:val="000000"/>
                <w:sz w:val="20"/>
                <w:szCs w:val="20"/>
                <w:lang w:val="en-GB"/>
              </w:rPr>
            </w:pPr>
          </w:p>
          <w:p w14:paraId="51893E36" w14:textId="1727CD97" w:rsidR="008B78B6" w:rsidRPr="00AD7EBC" w:rsidRDefault="008B78B6" w:rsidP="0042459F">
            <w:pPr>
              <w:rPr>
                <w:color w:val="000000"/>
                <w:sz w:val="20"/>
                <w:szCs w:val="20"/>
                <w:lang w:val="en-GB"/>
              </w:rPr>
            </w:pPr>
            <w:r w:rsidRPr="00AD7EBC">
              <w:rPr>
                <w:color w:val="000000"/>
                <w:sz w:val="20"/>
                <w:szCs w:val="20"/>
                <w:lang w:val="en-GB"/>
              </w:rPr>
              <w:t>Collected in person</w:t>
            </w:r>
          </w:p>
          <w:p w14:paraId="2B9CAA5D" w14:textId="77777777" w:rsidR="008B78B6" w:rsidRPr="00AD7EBC" w:rsidRDefault="008B78B6" w:rsidP="0042459F">
            <w:pPr>
              <w:rPr>
                <w:color w:val="000000"/>
                <w:sz w:val="20"/>
                <w:szCs w:val="20"/>
                <w:lang w:val="en-GB"/>
              </w:rPr>
            </w:pPr>
          </w:p>
          <w:p w14:paraId="04895FCE" w14:textId="01D38B89" w:rsidR="008B78B6" w:rsidRPr="00AD7EBC" w:rsidRDefault="008B78B6" w:rsidP="0042459F">
            <w:pPr>
              <w:rPr>
                <w:sz w:val="20"/>
                <w:szCs w:val="20"/>
                <w:lang w:val="en-GB"/>
              </w:rPr>
            </w:pPr>
          </w:p>
        </w:tc>
        <w:tc>
          <w:tcPr>
            <w:tcW w:w="2268" w:type="dxa"/>
          </w:tcPr>
          <w:p w14:paraId="252D16AA" w14:textId="3C52013F" w:rsidR="0042459F" w:rsidRPr="00AD7EBC" w:rsidRDefault="008B78B6" w:rsidP="0042459F">
            <w:pPr>
              <w:rPr>
                <w:sz w:val="20"/>
                <w:szCs w:val="20"/>
                <w:lang w:val="en-GB"/>
              </w:rPr>
            </w:pPr>
            <w:r w:rsidRPr="00AD7EBC">
              <w:rPr>
                <w:sz w:val="20"/>
                <w:szCs w:val="20"/>
                <w:lang w:val="en-GB"/>
              </w:rPr>
              <w:t>To allow for cross-checking</w:t>
            </w:r>
          </w:p>
        </w:tc>
        <w:tc>
          <w:tcPr>
            <w:tcW w:w="1701" w:type="dxa"/>
          </w:tcPr>
          <w:p w14:paraId="670509A6" w14:textId="5033911B" w:rsidR="0042459F" w:rsidRPr="00AD7EBC" w:rsidRDefault="008B78B6" w:rsidP="008B78B6">
            <w:pPr>
              <w:rPr>
                <w:sz w:val="20"/>
                <w:szCs w:val="20"/>
                <w:lang w:val="en-GB"/>
              </w:rPr>
            </w:pPr>
            <w:r w:rsidRPr="00AD7EBC">
              <w:rPr>
                <w:sz w:val="20"/>
                <w:szCs w:val="20"/>
                <w:lang w:val="en-GB"/>
              </w:rPr>
              <w:t>Quarterly</w:t>
            </w:r>
          </w:p>
        </w:tc>
      </w:tr>
      <w:tr w:rsidR="0042459F" w:rsidRPr="00AD7EBC" w14:paraId="2E74162C" w14:textId="77777777" w:rsidTr="00221D53">
        <w:trPr>
          <w:trHeight w:hRule="exact" w:val="2110"/>
        </w:trPr>
        <w:tc>
          <w:tcPr>
            <w:tcW w:w="1880" w:type="dxa"/>
          </w:tcPr>
          <w:p w14:paraId="68909FD6" w14:textId="77777777" w:rsidR="0042459F" w:rsidRPr="00AD7EBC" w:rsidRDefault="0042459F" w:rsidP="0042459F">
            <w:pPr>
              <w:pStyle w:val="TableParagraph"/>
              <w:ind w:right="581"/>
              <w:rPr>
                <w:sz w:val="20"/>
                <w:szCs w:val="20"/>
                <w:lang w:val="en-GB"/>
              </w:rPr>
            </w:pPr>
            <w:r w:rsidRPr="00AD7EBC">
              <w:rPr>
                <w:sz w:val="20"/>
                <w:szCs w:val="20"/>
                <w:lang w:val="en-GB"/>
              </w:rPr>
              <w:t>Output 5.2</w:t>
            </w:r>
          </w:p>
          <w:p w14:paraId="0F50C596" w14:textId="77777777" w:rsidR="0042459F" w:rsidRPr="00AD7EBC" w:rsidRDefault="0042459F" w:rsidP="0042459F">
            <w:pPr>
              <w:pStyle w:val="TableParagraph"/>
              <w:ind w:right="581"/>
              <w:rPr>
                <w:sz w:val="20"/>
                <w:szCs w:val="20"/>
                <w:lang w:val="en-GB"/>
              </w:rPr>
            </w:pPr>
            <w:r w:rsidRPr="00AD7EBC">
              <w:rPr>
                <w:sz w:val="20"/>
                <w:szCs w:val="20"/>
                <w:lang w:val="en-GB"/>
              </w:rPr>
              <w:t xml:space="preserve">Number of community-based initiatives that support </w:t>
            </w:r>
            <w:proofErr w:type="gramStart"/>
            <w:r w:rsidRPr="00AD7EBC">
              <w:rPr>
                <w:sz w:val="20"/>
                <w:szCs w:val="20"/>
                <w:lang w:val="en-GB"/>
              </w:rPr>
              <w:t>girls</w:t>
            </w:r>
            <w:proofErr w:type="gramEnd"/>
            <w:r w:rsidRPr="00AD7EBC">
              <w:rPr>
                <w:sz w:val="20"/>
                <w:szCs w:val="20"/>
                <w:lang w:val="en-GB"/>
              </w:rPr>
              <w:t xml:space="preserve"> education</w:t>
            </w:r>
          </w:p>
        </w:tc>
        <w:tc>
          <w:tcPr>
            <w:tcW w:w="1417" w:type="dxa"/>
          </w:tcPr>
          <w:p w14:paraId="28B8D419" w14:textId="0DE38D65" w:rsidR="0042459F" w:rsidRPr="00AD7EBC" w:rsidRDefault="008B78B6" w:rsidP="0042459F">
            <w:pPr>
              <w:rPr>
                <w:sz w:val="20"/>
                <w:szCs w:val="20"/>
                <w:lang w:val="en-GB"/>
              </w:rPr>
            </w:pPr>
            <w:r w:rsidRPr="00AD7EBC">
              <w:rPr>
                <w:sz w:val="20"/>
                <w:szCs w:val="20"/>
                <w:lang w:val="en-GB"/>
              </w:rPr>
              <w:t>Communities</w:t>
            </w:r>
          </w:p>
        </w:tc>
        <w:tc>
          <w:tcPr>
            <w:tcW w:w="2127" w:type="dxa"/>
          </w:tcPr>
          <w:p w14:paraId="55AD9D4B" w14:textId="025F91F7" w:rsidR="0042459F" w:rsidRPr="00AD7EBC" w:rsidRDefault="008B78B6" w:rsidP="0042459F">
            <w:pPr>
              <w:rPr>
                <w:color w:val="000000"/>
                <w:sz w:val="20"/>
                <w:szCs w:val="20"/>
                <w:lang w:val="en-GB"/>
              </w:rPr>
            </w:pPr>
            <w:r w:rsidRPr="00AD7EBC">
              <w:rPr>
                <w:color w:val="000000"/>
                <w:sz w:val="20"/>
                <w:szCs w:val="20"/>
                <w:lang w:val="en-GB"/>
              </w:rPr>
              <w:t>Record kept by community groups</w:t>
            </w:r>
          </w:p>
          <w:p w14:paraId="744A54E2" w14:textId="7B546303" w:rsidR="008B78B6" w:rsidRPr="00AD7EBC" w:rsidRDefault="008B78B6" w:rsidP="0042459F">
            <w:pPr>
              <w:rPr>
                <w:color w:val="000000"/>
                <w:sz w:val="20"/>
                <w:szCs w:val="20"/>
                <w:lang w:val="en-GB"/>
              </w:rPr>
            </w:pPr>
          </w:p>
          <w:p w14:paraId="7F13FAD2" w14:textId="0335BB08" w:rsidR="008B78B6" w:rsidRPr="00AD7EBC" w:rsidRDefault="008B78B6" w:rsidP="0042459F">
            <w:pPr>
              <w:rPr>
                <w:color w:val="000000"/>
                <w:sz w:val="20"/>
                <w:szCs w:val="20"/>
                <w:lang w:val="en-GB"/>
              </w:rPr>
            </w:pPr>
            <w:r w:rsidRPr="00AD7EBC">
              <w:rPr>
                <w:color w:val="000000"/>
                <w:sz w:val="20"/>
                <w:szCs w:val="20"/>
                <w:lang w:val="en-GB"/>
              </w:rPr>
              <w:t>Collected in person</w:t>
            </w:r>
          </w:p>
          <w:p w14:paraId="00783AC4" w14:textId="77777777" w:rsidR="0042459F" w:rsidRPr="00AD7EBC" w:rsidRDefault="0042459F" w:rsidP="0042459F">
            <w:pPr>
              <w:rPr>
                <w:sz w:val="20"/>
                <w:szCs w:val="20"/>
                <w:lang w:val="en-GB"/>
              </w:rPr>
            </w:pPr>
          </w:p>
        </w:tc>
        <w:tc>
          <w:tcPr>
            <w:tcW w:w="2268" w:type="dxa"/>
          </w:tcPr>
          <w:p w14:paraId="1F730FA0" w14:textId="6693B37E" w:rsidR="0042459F" w:rsidRPr="00AD7EBC" w:rsidRDefault="008B78B6" w:rsidP="0042459F">
            <w:pPr>
              <w:rPr>
                <w:sz w:val="20"/>
                <w:szCs w:val="20"/>
                <w:lang w:val="en-GB"/>
              </w:rPr>
            </w:pPr>
            <w:r w:rsidRPr="00AD7EBC">
              <w:rPr>
                <w:sz w:val="20"/>
                <w:szCs w:val="20"/>
                <w:lang w:val="en-GB"/>
              </w:rPr>
              <w:t>Monitoring visits will also ensure that community groups are active and implementing initiatives.</w:t>
            </w:r>
            <w:r w:rsidR="0042459F" w:rsidRPr="00AD7EBC">
              <w:rPr>
                <w:sz w:val="20"/>
                <w:szCs w:val="20"/>
                <w:lang w:val="en-GB"/>
              </w:rPr>
              <w:t xml:space="preserve"> </w:t>
            </w:r>
          </w:p>
        </w:tc>
        <w:tc>
          <w:tcPr>
            <w:tcW w:w="1701" w:type="dxa"/>
          </w:tcPr>
          <w:p w14:paraId="1C2B3D3A" w14:textId="6583C114" w:rsidR="0042459F" w:rsidRPr="00AD7EBC" w:rsidRDefault="008B78B6" w:rsidP="0042459F">
            <w:pPr>
              <w:rPr>
                <w:sz w:val="20"/>
                <w:szCs w:val="20"/>
                <w:lang w:val="en-GB"/>
              </w:rPr>
            </w:pPr>
            <w:r w:rsidRPr="00AD7EBC">
              <w:rPr>
                <w:sz w:val="20"/>
                <w:szCs w:val="20"/>
                <w:lang w:val="en-GB"/>
              </w:rPr>
              <w:t>Quarterly</w:t>
            </w:r>
          </w:p>
          <w:p w14:paraId="41D89FB7" w14:textId="77777777" w:rsidR="0042459F" w:rsidRPr="00AD7EBC" w:rsidRDefault="0042459F" w:rsidP="0042459F">
            <w:pPr>
              <w:rPr>
                <w:sz w:val="20"/>
                <w:szCs w:val="20"/>
                <w:lang w:val="en-GB"/>
              </w:rPr>
            </w:pPr>
          </w:p>
        </w:tc>
      </w:tr>
      <w:tr w:rsidR="0042459F" w:rsidRPr="00AD7EBC" w14:paraId="4A97FA43" w14:textId="77777777" w:rsidTr="00221D53">
        <w:trPr>
          <w:trHeight w:hRule="exact" w:val="2565"/>
        </w:trPr>
        <w:tc>
          <w:tcPr>
            <w:tcW w:w="1880" w:type="dxa"/>
          </w:tcPr>
          <w:p w14:paraId="36835A52" w14:textId="77777777" w:rsidR="0042459F" w:rsidRPr="00AD7EBC" w:rsidRDefault="0042459F" w:rsidP="0042459F">
            <w:pPr>
              <w:pStyle w:val="TableParagraph"/>
              <w:ind w:right="581"/>
              <w:rPr>
                <w:sz w:val="20"/>
                <w:szCs w:val="20"/>
                <w:lang w:val="en-GB"/>
              </w:rPr>
            </w:pPr>
            <w:r w:rsidRPr="00AD7EBC">
              <w:rPr>
                <w:sz w:val="20"/>
                <w:szCs w:val="20"/>
                <w:lang w:val="en-GB"/>
              </w:rPr>
              <w:t>Output 5.3</w:t>
            </w:r>
          </w:p>
          <w:p w14:paraId="682CC870" w14:textId="77777777" w:rsidR="0042459F" w:rsidRPr="00AD7EBC" w:rsidRDefault="0042459F" w:rsidP="0042459F">
            <w:pPr>
              <w:pStyle w:val="TableParagraph"/>
              <w:ind w:right="581"/>
              <w:rPr>
                <w:sz w:val="20"/>
                <w:szCs w:val="20"/>
                <w:lang w:val="en-GB"/>
              </w:rPr>
            </w:pPr>
            <w:r w:rsidRPr="00AD7EBC">
              <w:rPr>
                <w:sz w:val="20"/>
                <w:szCs w:val="20"/>
                <w:lang w:val="en-GB"/>
              </w:rPr>
              <w:t>% of VSLA members reporting increased financial assets to afford girls' education</w:t>
            </w:r>
          </w:p>
        </w:tc>
        <w:tc>
          <w:tcPr>
            <w:tcW w:w="1417" w:type="dxa"/>
          </w:tcPr>
          <w:p w14:paraId="191269ED" w14:textId="1301901A" w:rsidR="0042459F" w:rsidRPr="00AD7EBC" w:rsidRDefault="008B78B6" w:rsidP="0042459F">
            <w:pPr>
              <w:rPr>
                <w:sz w:val="20"/>
                <w:szCs w:val="20"/>
                <w:lang w:val="en-GB"/>
              </w:rPr>
            </w:pPr>
            <w:r w:rsidRPr="00AD7EBC">
              <w:rPr>
                <w:sz w:val="20"/>
                <w:szCs w:val="20"/>
                <w:lang w:val="en-GB"/>
              </w:rPr>
              <w:t>VSLA</w:t>
            </w:r>
          </w:p>
        </w:tc>
        <w:tc>
          <w:tcPr>
            <w:tcW w:w="2127" w:type="dxa"/>
          </w:tcPr>
          <w:p w14:paraId="72765886" w14:textId="5F1DF2C7" w:rsidR="0042459F" w:rsidRPr="00AD7EBC" w:rsidRDefault="008B78B6" w:rsidP="0042459F">
            <w:pPr>
              <w:rPr>
                <w:color w:val="000000"/>
                <w:sz w:val="20"/>
                <w:szCs w:val="20"/>
                <w:lang w:val="en-GB"/>
              </w:rPr>
            </w:pPr>
            <w:r w:rsidRPr="00AD7EBC">
              <w:rPr>
                <w:color w:val="000000"/>
                <w:sz w:val="20"/>
                <w:szCs w:val="20"/>
                <w:lang w:val="en-GB"/>
              </w:rPr>
              <w:t xml:space="preserve">Records from VSLA groups and questionnaires to members. </w:t>
            </w:r>
          </w:p>
          <w:p w14:paraId="07951E60" w14:textId="4736B8F4" w:rsidR="008B78B6" w:rsidRPr="00AD7EBC" w:rsidRDefault="008B78B6" w:rsidP="0042459F">
            <w:pPr>
              <w:rPr>
                <w:color w:val="000000"/>
                <w:sz w:val="20"/>
                <w:szCs w:val="20"/>
                <w:lang w:val="en-GB"/>
              </w:rPr>
            </w:pPr>
          </w:p>
          <w:p w14:paraId="19623CDD" w14:textId="12F8255C" w:rsidR="008B78B6" w:rsidRPr="00AD7EBC" w:rsidRDefault="008B78B6" w:rsidP="0042459F">
            <w:pPr>
              <w:rPr>
                <w:color w:val="000000"/>
                <w:sz w:val="20"/>
                <w:szCs w:val="20"/>
                <w:lang w:val="en-GB"/>
              </w:rPr>
            </w:pPr>
            <w:r w:rsidRPr="00AD7EBC">
              <w:rPr>
                <w:color w:val="000000"/>
                <w:sz w:val="20"/>
                <w:szCs w:val="20"/>
                <w:lang w:val="en-GB"/>
              </w:rPr>
              <w:t>Collected in person.</w:t>
            </w:r>
          </w:p>
          <w:p w14:paraId="54BDEC66" w14:textId="0E9FC15A" w:rsidR="008B78B6" w:rsidRPr="00AD7EBC" w:rsidRDefault="008B78B6" w:rsidP="0042459F">
            <w:pPr>
              <w:rPr>
                <w:color w:val="000000"/>
                <w:sz w:val="20"/>
                <w:szCs w:val="20"/>
                <w:lang w:val="en-GB"/>
              </w:rPr>
            </w:pPr>
          </w:p>
          <w:p w14:paraId="21C95EA2" w14:textId="1162797C" w:rsidR="008B78B6" w:rsidRPr="00AD7EBC" w:rsidRDefault="008B78B6" w:rsidP="0042459F">
            <w:pPr>
              <w:rPr>
                <w:color w:val="000000"/>
                <w:sz w:val="20"/>
                <w:szCs w:val="20"/>
                <w:lang w:val="en-GB"/>
              </w:rPr>
            </w:pPr>
            <w:r w:rsidRPr="00AD7EBC">
              <w:rPr>
                <w:color w:val="000000"/>
                <w:sz w:val="20"/>
                <w:szCs w:val="20"/>
                <w:lang w:val="en-GB"/>
              </w:rPr>
              <w:t xml:space="preserve">Disaggregated by sex. </w:t>
            </w:r>
          </w:p>
          <w:p w14:paraId="412F0C0F" w14:textId="77777777" w:rsidR="0042459F" w:rsidRPr="00AD7EBC" w:rsidRDefault="0042459F" w:rsidP="0042459F">
            <w:pPr>
              <w:rPr>
                <w:color w:val="000000"/>
                <w:sz w:val="20"/>
                <w:szCs w:val="20"/>
                <w:lang w:val="en-GB"/>
              </w:rPr>
            </w:pPr>
          </w:p>
          <w:p w14:paraId="44EE6D32" w14:textId="77777777" w:rsidR="0042459F" w:rsidRPr="00AD7EBC" w:rsidRDefault="0042459F" w:rsidP="0042459F">
            <w:pPr>
              <w:rPr>
                <w:color w:val="000000"/>
                <w:sz w:val="20"/>
                <w:szCs w:val="20"/>
                <w:lang w:val="en-GB"/>
              </w:rPr>
            </w:pPr>
            <w:r w:rsidRPr="00AD7EBC">
              <w:rPr>
                <w:color w:val="000000"/>
                <w:sz w:val="20"/>
                <w:szCs w:val="20"/>
                <w:lang w:val="en-GB"/>
              </w:rPr>
              <w:t xml:space="preserve"> </w:t>
            </w:r>
          </w:p>
          <w:p w14:paraId="09DFF787" w14:textId="77777777" w:rsidR="0042459F" w:rsidRPr="00AD7EBC" w:rsidRDefault="0042459F" w:rsidP="0042459F">
            <w:pPr>
              <w:rPr>
                <w:sz w:val="20"/>
                <w:szCs w:val="20"/>
                <w:lang w:val="en-GB"/>
              </w:rPr>
            </w:pPr>
          </w:p>
        </w:tc>
        <w:tc>
          <w:tcPr>
            <w:tcW w:w="2268" w:type="dxa"/>
          </w:tcPr>
          <w:p w14:paraId="702799C8" w14:textId="6F88E404" w:rsidR="0042459F" w:rsidRPr="00AD7EBC" w:rsidRDefault="00D07E72" w:rsidP="0042459F">
            <w:pPr>
              <w:rPr>
                <w:sz w:val="20"/>
                <w:szCs w:val="20"/>
                <w:lang w:val="en-GB"/>
              </w:rPr>
            </w:pPr>
            <w:r w:rsidRPr="00AD7EBC">
              <w:rPr>
                <w:sz w:val="20"/>
                <w:szCs w:val="20"/>
                <w:lang w:val="en-GB"/>
              </w:rPr>
              <w:t xml:space="preserve">Members are best placed to know and evaluate whether their financial assets have increased to support girls’ education. </w:t>
            </w:r>
          </w:p>
        </w:tc>
        <w:tc>
          <w:tcPr>
            <w:tcW w:w="1701" w:type="dxa"/>
          </w:tcPr>
          <w:p w14:paraId="3A438026" w14:textId="51DD6D04" w:rsidR="0042459F" w:rsidRPr="00AD7EBC" w:rsidRDefault="008B78B6" w:rsidP="0042459F">
            <w:pPr>
              <w:rPr>
                <w:sz w:val="20"/>
                <w:szCs w:val="20"/>
                <w:lang w:val="en-GB"/>
              </w:rPr>
            </w:pPr>
            <w:r w:rsidRPr="00AD7EBC">
              <w:rPr>
                <w:sz w:val="20"/>
                <w:szCs w:val="20"/>
                <w:lang w:val="en-GB"/>
              </w:rPr>
              <w:t>Quarterly</w:t>
            </w:r>
          </w:p>
        </w:tc>
      </w:tr>
    </w:tbl>
    <w:p w14:paraId="7E0A4D17" w14:textId="33F97490" w:rsidR="0042459F" w:rsidRPr="00AD7EBC" w:rsidRDefault="0042459F" w:rsidP="007C7D0F">
      <w:pPr>
        <w:jc w:val="both"/>
        <w:rPr>
          <w:lang w:val="en-GB"/>
        </w:rPr>
      </w:pPr>
    </w:p>
    <w:p w14:paraId="5DBA69D2" w14:textId="237AB63B" w:rsidR="0042459F" w:rsidRPr="00AD7EBC" w:rsidRDefault="00C74C0D" w:rsidP="007C7D0F">
      <w:pPr>
        <w:jc w:val="both"/>
        <w:rPr>
          <w:lang w:val="en-GB"/>
        </w:rPr>
      </w:pPr>
      <w:r>
        <w:rPr>
          <w:lang w:val="en-GB"/>
        </w:rPr>
        <w:t xml:space="preserve">In addition to this, sample demographics on girls and teachers will be collected. This will include, for example, disability data from with the Washington Group questions. This will allow us to disaggregate the monitoring data to explore sub-population features such as marginalisation of a sub-group. </w:t>
      </w:r>
      <w:r w:rsidR="007123DD">
        <w:rPr>
          <w:lang w:val="en-GB"/>
        </w:rPr>
        <w:t xml:space="preserve">This will only be done with a sample of girls initially and built up over time. This is because of the large size of the cohort and the difficulties of tracking at an individual level (as discussed in the Vas-y-fille baseline and endline). </w:t>
      </w:r>
    </w:p>
    <w:p w14:paraId="7349230A" w14:textId="77777777" w:rsidR="007C7D0F" w:rsidRPr="00AD7EBC" w:rsidRDefault="007C7D0F" w:rsidP="007C7D0F">
      <w:pPr>
        <w:pStyle w:val="BodyText"/>
        <w:spacing w:before="10"/>
        <w:rPr>
          <w:i/>
          <w:sz w:val="28"/>
          <w:lang w:val="en-GB"/>
        </w:rPr>
      </w:pPr>
    </w:p>
    <w:p w14:paraId="57D222FA" w14:textId="3F8A5782" w:rsidR="007C7D0F" w:rsidRPr="00AD7EBC" w:rsidRDefault="007C7D0F" w:rsidP="00C21EEA">
      <w:pPr>
        <w:pStyle w:val="Heading2"/>
      </w:pPr>
      <w:bookmarkStart w:id="4" w:name="_Toc506203078"/>
      <w:r w:rsidRPr="00AD7EBC">
        <w:t>Key evaluation questions</w:t>
      </w:r>
      <w:bookmarkEnd w:id="4"/>
    </w:p>
    <w:p w14:paraId="750F4BD3" w14:textId="77777777" w:rsidR="007132AE" w:rsidRPr="00AD7EBC" w:rsidRDefault="007132AE" w:rsidP="007132AE">
      <w:pPr>
        <w:pStyle w:val="BodyText"/>
        <w:ind w:left="100" w:right="114"/>
        <w:jc w:val="both"/>
        <w:rPr>
          <w:lang w:val="en-GB"/>
        </w:rPr>
      </w:pPr>
    </w:p>
    <w:p w14:paraId="66DCDD1A" w14:textId="31FAA5B4" w:rsidR="007132AE" w:rsidRPr="00AD7EBC" w:rsidRDefault="007132AE" w:rsidP="003B2F05">
      <w:pPr>
        <w:pStyle w:val="BodyText"/>
        <w:ind w:left="100" w:right="114"/>
        <w:jc w:val="both"/>
        <w:rPr>
          <w:lang w:val="en-GB"/>
        </w:rPr>
      </w:pPr>
      <w:r w:rsidRPr="00AD7EBC">
        <w:rPr>
          <w:lang w:val="en-GB"/>
        </w:rPr>
        <w:t>The evaluations will focus on assessing results at Intermediate Outcome</w:t>
      </w:r>
      <w:r w:rsidR="003B2F05" w:rsidRPr="00AD7EBC">
        <w:rPr>
          <w:lang w:val="en-GB"/>
        </w:rPr>
        <w:t>s and Outcomes level, which is why</w:t>
      </w:r>
      <w:r w:rsidRPr="00AD7EBC">
        <w:rPr>
          <w:lang w:val="en-GB"/>
        </w:rPr>
        <w:t xml:space="preserve"> the evaluation questions are defined to look for causal links at a higher level. However, </w:t>
      </w:r>
      <w:r w:rsidR="003B2F05" w:rsidRPr="00AD7EBC">
        <w:rPr>
          <w:lang w:val="en-GB"/>
        </w:rPr>
        <w:t xml:space="preserve">the </w:t>
      </w:r>
      <w:r w:rsidRPr="00AD7EBC">
        <w:rPr>
          <w:lang w:val="en-GB"/>
        </w:rPr>
        <w:t xml:space="preserve">project activities and outputs remain important in terms of consistency and how these relate to the Intermediate Outcomes, and then to the Outcomes. The project’s theory of change is to be </w:t>
      </w:r>
      <w:r w:rsidR="00AD7EBC">
        <w:rPr>
          <w:lang w:val="en-GB"/>
        </w:rPr>
        <w:t>tested at each evaluation point</w:t>
      </w:r>
      <w:r w:rsidRPr="00AD7EBC">
        <w:rPr>
          <w:lang w:val="en-GB"/>
        </w:rPr>
        <w:t xml:space="preserve"> and validated or adapted if needed depending on f</w:t>
      </w:r>
      <w:r w:rsidR="003B2F05" w:rsidRPr="00AD7EBC">
        <w:rPr>
          <w:lang w:val="en-GB"/>
        </w:rPr>
        <w:t>indings. The project evaluation</w:t>
      </w:r>
      <w:r w:rsidRPr="00AD7EBC">
        <w:rPr>
          <w:lang w:val="en-GB"/>
        </w:rPr>
        <w:t xml:space="preserve"> questions are designed by following the OECD DAC criteria to generate evidence, and demonstrate achievements on effectiveness, </w:t>
      </w:r>
      <w:r w:rsidRPr="00AD7EBC">
        <w:rPr>
          <w:lang w:val="en-GB"/>
        </w:rPr>
        <w:lastRenderedPageBreak/>
        <w:t>relevance, efficiency, sustainability and impact. The detailed evaluation design, methods, respondents and tools will be developed and submitted for review during the baseline, midline and end line</w:t>
      </w:r>
      <w:r w:rsidR="003B2F05" w:rsidRPr="00AD7EBC">
        <w:rPr>
          <w:lang w:val="en-GB"/>
        </w:rPr>
        <w:t>,</w:t>
      </w:r>
      <w:r w:rsidRPr="00AD7EBC">
        <w:rPr>
          <w:lang w:val="en-GB"/>
        </w:rPr>
        <w:t xml:space="preserve"> but a summ</w:t>
      </w:r>
      <w:r w:rsidR="003B2F05" w:rsidRPr="00AD7EBC">
        <w:rPr>
          <w:lang w:val="en-GB"/>
        </w:rPr>
        <w:t>ary is presented in section 5 -</w:t>
      </w:r>
      <w:r w:rsidRPr="00AD7EBC">
        <w:rPr>
          <w:lang w:val="en-GB"/>
        </w:rPr>
        <w:t xml:space="preserve"> Evaluation design</w:t>
      </w:r>
      <w:r w:rsidR="003B2F05" w:rsidRPr="00AD7EBC">
        <w:rPr>
          <w:lang w:val="en-GB"/>
        </w:rPr>
        <w:t xml:space="preserve"> of this document. </w:t>
      </w:r>
    </w:p>
    <w:p w14:paraId="421B2D99" w14:textId="77777777" w:rsidR="007132AE" w:rsidRPr="00AD7EBC" w:rsidRDefault="007132AE" w:rsidP="007132AE">
      <w:pPr>
        <w:pStyle w:val="BodyText"/>
        <w:ind w:left="100" w:right="114"/>
        <w:jc w:val="both"/>
        <w:rPr>
          <w:lang w:val="en-GB"/>
        </w:rPr>
      </w:pPr>
    </w:p>
    <w:p w14:paraId="27B129CA" w14:textId="77777777" w:rsidR="007132AE" w:rsidRPr="00AD7EBC" w:rsidRDefault="007132AE" w:rsidP="00011402">
      <w:pPr>
        <w:pStyle w:val="BodyText"/>
        <w:ind w:left="100" w:right="114"/>
        <w:jc w:val="both"/>
        <w:outlineLvl w:val="0"/>
        <w:rPr>
          <w:b/>
          <w:lang w:val="en-GB"/>
        </w:rPr>
      </w:pPr>
      <w:r w:rsidRPr="00AD7EBC">
        <w:rPr>
          <w:b/>
          <w:lang w:val="en-GB"/>
        </w:rPr>
        <w:t>Relevance</w:t>
      </w:r>
    </w:p>
    <w:p w14:paraId="529CF0BD" w14:textId="77777777" w:rsidR="007132AE" w:rsidRPr="00AD7EBC" w:rsidRDefault="007132AE" w:rsidP="003B2F05">
      <w:pPr>
        <w:pStyle w:val="BodyText"/>
        <w:numPr>
          <w:ilvl w:val="0"/>
          <w:numId w:val="14"/>
        </w:numPr>
        <w:ind w:right="114"/>
        <w:jc w:val="both"/>
        <w:rPr>
          <w:lang w:val="en-GB"/>
        </w:rPr>
      </w:pPr>
      <w:r w:rsidRPr="00AD7EBC">
        <w:rPr>
          <w:lang w:val="en-GB"/>
        </w:rPr>
        <w:t>To what extent is the project’s theory of change still valid?</w:t>
      </w:r>
    </w:p>
    <w:p w14:paraId="69CC7200" w14:textId="77777777" w:rsidR="007132AE" w:rsidRPr="00AD7EBC" w:rsidRDefault="007132AE" w:rsidP="003B2F05">
      <w:pPr>
        <w:pStyle w:val="BodyText"/>
        <w:numPr>
          <w:ilvl w:val="0"/>
          <w:numId w:val="14"/>
        </w:numPr>
        <w:ind w:right="114"/>
        <w:jc w:val="both"/>
        <w:rPr>
          <w:lang w:val="en-GB"/>
        </w:rPr>
      </w:pPr>
      <w:r w:rsidRPr="00AD7EBC">
        <w:rPr>
          <w:lang w:val="en-GB"/>
        </w:rPr>
        <w:t>Are the activities and outputs of the project consistent with the Intermediate Outcomes and Outcomes?</w:t>
      </w:r>
    </w:p>
    <w:p w14:paraId="633E670E" w14:textId="77777777" w:rsidR="007132AE" w:rsidRPr="00AD7EBC" w:rsidRDefault="007132AE" w:rsidP="003B2F05">
      <w:pPr>
        <w:pStyle w:val="BodyText"/>
        <w:numPr>
          <w:ilvl w:val="0"/>
          <w:numId w:val="14"/>
        </w:numPr>
        <w:ind w:right="114"/>
        <w:jc w:val="both"/>
        <w:rPr>
          <w:lang w:val="en-GB"/>
        </w:rPr>
      </w:pPr>
      <w:r w:rsidRPr="00AD7EBC">
        <w:rPr>
          <w:lang w:val="en-GB"/>
        </w:rPr>
        <w:t xml:space="preserve">Are the Intermediate Outcomes of the project consistent with the overall objectives of improving marginalized girls’ learning and transition through education stages, and overall sustainability outcome? </w:t>
      </w:r>
    </w:p>
    <w:p w14:paraId="6C0463FE" w14:textId="77777777" w:rsidR="007132AE" w:rsidRPr="00AD7EBC" w:rsidRDefault="007132AE" w:rsidP="007132AE">
      <w:pPr>
        <w:pStyle w:val="BodyText"/>
        <w:ind w:left="100" w:right="114"/>
        <w:jc w:val="both"/>
        <w:rPr>
          <w:lang w:val="en-GB"/>
        </w:rPr>
      </w:pPr>
    </w:p>
    <w:p w14:paraId="7F7CF44A" w14:textId="77777777" w:rsidR="007132AE" w:rsidRPr="00AD7EBC" w:rsidRDefault="007132AE" w:rsidP="00011402">
      <w:pPr>
        <w:pStyle w:val="BodyText"/>
        <w:ind w:left="100" w:right="114"/>
        <w:jc w:val="both"/>
        <w:outlineLvl w:val="0"/>
        <w:rPr>
          <w:b/>
          <w:lang w:val="en-GB"/>
        </w:rPr>
      </w:pPr>
      <w:r w:rsidRPr="00AD7EBC">
        <w:rPr>
          <w:b/>
          <w:lang w:val="en-GB"/>
        </w:rPr>
        <w:t>Effectiveness</w:t>
      </w:r>
    </w:p>
    <w:p w14:paraId="77B4C62C" w14:textId="77777777" w:rsidR="007132AE" w:rsidRPr="00AD7EBC" w:rsidRDefault="007132AE" w:rsidP="003B2F05">
      <w:pPr>
        <w:pStyle w:val="BodyText"/>
        <w:numPr>
          <w:ilvl w:val="0"/>
          <w:numId w:val="15"/>
        </w:numPr>
        <w:ind w:right="114"/>
        <w:jc w:val="both"/>
        <w:rPr>
          <w:lang w:val="en-GB"/>
        </w:rPr>
      </w:pPr>
      <w:r w:rsidRPr="00AD7EBC">
        <w:rPr>
          <w:lang w:val="en-GB"/>
        </w:rPr>
        <w:t xml:space="preserve">To what extent are the objectives likely to be achieved (Baseline and Midline evaluations) / were the objectives achieved (Endline evaluation)? </w:t>
      </w:r>
    </w:p>
    <w:p w14:paraId="6D237999" w14:textId="77777777" w:rsidR="007132AE" w:rsidRPr="00AD7EBC" w:rsidRDefault="007132AE" w:rsidP="003B2F05">
      <w:pPr>
        <w:pStyle w:val="BodyText"/>
        <w:numPr>
          <w:ilvl w:val="0"/>
          <w:numId w:val="15"/>
        </w:numPr>
        <w:ind w:right="114"/>
        <w:jc w:val="both"/>
        <w:rPr>
          <w:lang w:val="en-GB"/>
        </w:rPr>
      </w:pPr>
      <w:r w:rsidRPr="00AD7EBC">
        <w:rPr>
          <w:lang w:val="en-GB"/>
        </w:rPr>
        <w:t xml:space="preserve">What works to facilitate transition of marginalized girls through education stages and increase their learning? </w:t>
      </w:r>
    </w:p>
    <w:p w14:paraId="04FCC6EA" w14:textId="77B3A655" w:rsidR="007132AE" w:rsidRPr="00AD7EBC" w:rsidRDefault="007132AE" w:rsidP="003B2F05">
      <w:pPr>
        <w:pStyle w:val="BodyText"/>
        <w:numPr>
          <w:ilvl w:val="0"/>
          <w:numId w:val="15"/>
        </w:numPr>
        <w:ind w:right="114"/>
        <w:jc w:val="both"/>
        <w:rPr>
          <w:lang w:val="en-GB"/>
        </w:rPr>
      </w:pPr>
      <w:r w:rsidRPr="00AD7EBC">
        <w:rPr>
          <w:lang w:val="en-GB"/>
        </w:rPr>
        <w:t>To what extent has the project reached and made a difference to marginalized sub-groups of girls (i.e. living in remote areas; girls married under 18; girls with disability; extremely poor; engaged in child labo</w:t>
      </w:r>
      <w:r w:rsidR="00AD7EBC">
        <w:rPr>
          <w:lang w:val="en-GB"/>
        </w:rPr>
        <w:t>u</w:t>
      </w:r>
      <w:r w:rsidRPr="00AD7EBC">
        <w:rPr>
          <w:lang w:val="en-GB"/>
        </w:rPr>
        <w:t xml:space="preserve">r; and young mothers under 18) in terms of learning and transition? </w:t>
      </w:r>
    </w:p>
    <w:p w14:paraId="7067BADF" w14:textId="77777777" w:rsidR="007132AE" w:rsidRPr="00AD7EBC" w:rsidRDefault="007132AE" w:rsidP="003B2F05">
      <w:pPr>
        <w:pStyle w:val="BodyText"/>
        <w:numPr>
          <w:ilvl w:val="0"/>
          <w:numId w:val="15"/>
        </w:numPr>
        <w:ind w:right="114"/>
        <w:jc w:val="both"/>
        <w:rPr>
          <w:lang w:val="en-GB"/>
        </w:rPr>
      </w:pPr>
      <w:r w:rsidRPr="00AD7EBC">
        <w:rPr>
          <w:lang w:val="en-GB"/>
        </w:rPr>
        <w:t xml:space="preserve">To what extent have the project’s interventions addressed the major barriers and challenges to marginalized girls’ transition through key education stages and their learning? </w:t>
      </w:r>
    </w:p>
    <w:p w14:paraId="5679023C" w14:textId="77777777" w:rsidR="007132AE" w:rsidRPr="00AD7EBC" w:rsidRDefault="007132AE" w:rsidP="007132AE">
      <w:pPr>
        <w:pStyle w:val="BodyText"/>
        <w:ind w:left="100" w:right="114"/>
        <w:jc w:val="both"/>
        <w:rPr>
          <w:lang w:val="en-GB"/>
        </w:rPr>
      </w:pPr>
    </w:p>
    <w:p w14:paraId="7B579022" w14:textId="77777777" w:rsidR="007132AE" w:rsidRPr="00AD7EBC" w:rsidRDefault="007132AE" w:rsidP="00011402">
      <w:pPr>
        <w:pStyle w:val="BodyText"/>
        <w:ind w:left="100" w:right="114"/>
        <w:jc w:val="both"/>
        <w:outlineLvl w:val="0"/>
        <w:rPr>
          <w:b/>
          <w:lang w:val="en-GB"/>
        </w:rPr>
      </w:pPr>
      <w:r w:rsidRPr="00AD7EBC">
        <w:rPr>
          <w:b/>
          <w:lang w:val="en-GB"/>
        </w:rPr>
        <w:t>Efficiency</w:t>
      </w:r>
    </w:p>
    <w:p w14:paraId="69416E79" w14:textId="77777777" w:rsidR="007132AE" w:rsidRPr="00AD7EBC" w:rsidRDefault="00B23DE5" w:rsidP="003B2F05">
      <w:pPr>
        <w:pStyle w:val="BodyText"/>
        <w:numPr>
          <w:ilvl w:val="0"/>
          <w:numId w:val="16"/>
        </w:numPr>
        <w:ind w:right="114"/>
        <w:jc w:val="both"/>
        <w:rPr>
          <w:lang w:val="en-GB"/>
        </w:rPr>
      </w:pPr>
      <w:r w:rsidRPr="00AD7EBC">
        <w:rPr>
          <w:lang w:val="en-GB"/>
        </w:rPr>
        <w:t>Was REALISE</w:t>
      </w:r>
      <w:r w:rsidR="007132AE" w:rsidRPr="00AD7EBC">
        <w:rPr>
          <w:lang w:val="en-GB"/>
        </w:rPr>
        <w:t xml:space="preserve"> successf</w:t>
      </w:r>
      <w:r w:rsidRPr="00AD7EBC">
        <w:rPr>
          <w:lang w:val="en-GB"/>
        </w:rPr>
        <w:t>ully designed and implemented?</w:t>
      </w:r>
      <w:r w:rsidRPr="00AD7EBC">
        <w:rPr>
          <w:rStyle w:val="FootnoteReference"/>
          <w:lang w:val="en-GB"/>
        </w:rPr>
        <w:footnoteReference w:customMarkFollows="1" w:id="3"/>
        <w:sym w:font="Symbol" w:char="F02A"/>
      </w:r>
    </w:p>
    <w:p w14:paraId="0E37F732" w14:textId="77777777" w:rsidR="007132AE" w:rsidRPr="00AD7EBC" w:rsidRDefault="00B23DE5" w:rsidP="003B2F05">
      <w:pPr>
        <w:pStyle w:val="BodyText"/>
        <w:numPr>
          <w:ilvl w:val="0"/>
          <w:numId w:val="16"/>
        </w:numPr>
        <w:ind w:right="114"/>
        <w:jc w:val="both"/>
        <w:rPr>
          <w:lang w:val="en-GB"/>
        </w:rPr>
      </w:pPr>
      <w:r w:rsidRPr="00AD7EBC">
        <w:rPr>
          <w:lang w:val="en-GB"/>
        </w:rPr>
        <w:t>Was REALISE</w:t>
      </w:r>
      <w:r w:rsidR="007132AE" w:rsidRPr="00AD7EBC">
        <w:rPr>
          <w:lang w:val="en-GB"/>
        </w:rPr>
        <w:t xml:space="preserve"> good Value for Money in utilization of resources and </w:t>
      </w:r>
      <w:r w:rsidRPr="00AD7EBC">
        <w:rPr>
          <w:lang w:val="en-GB"/>
        </w:rPr>
        <w:t>achievement of project results?</w:t>
      </w:r>
      <w:r w:rsidRPr="00AD7EBC">
        <w:rPr>
          <w:rStyle w:val="FootnoteReference"/>
          <w:lang w:val="en-GB"/>
        </w:rPr>
        <w:footnoteReference w:customMarkFollows="1" w:id="4"/>
        <w:sym w:font="Symbol" w:char="F02A"/>
      </w:r>
    </w:p>
    <w:p w14:paraId="1412E779" w14:textId="77777777" w:rsidR="007132AE" w:rsidRPr="00AD7EBC" w:rsidRDefault="007132AE" w:rsidP="003B2F05">
      <w:pPr>
        <w:pStyle w:val="BodyText"/>
        <w:numPr>
          <w:ilvl w:val="0"/>
          <w:numId w:val="16"/>
        </w:numPr>
        <w:ind w:right="114"/>
        <w:jc w:val="both"/>
        <w:rPr>
          <w:lang w:val="en-GB"/>
        </w:rPr>
      </w:pPr>
      <w:r w:rsidRPr="00AD7EBC">
        <w:rPr>
          <w:lang w:val="en-GB"/>
        </w:rPr>
        <w:t>Were objectives of the project achieved on a timely basis?</w:t>
      </w:r>
    </w:p>
    <w:p w14:paraId="3446CA2D" w14:textId="77777777" w:rsidR="007132AE" w:rsidRPr="00AD7EBC" w:rsidRDefault="007132AE" w:rsidP="007132AE">
      <w:pPr>
        <w:pStyle w:val="BodyText"/>
        <w:ind w:left="100" w:right="114"/>
        <w:jc w:val="both"/>
        <w:rPr>
          <w:lang w:val="en-GB"/>
        </w:rPr>
      </w:pPr>
    </w:p>
    <w:p w14:paraId="1AC6E330" w14:textId="77777777" w:rsidR="007132AE" w:rsidRPr="00AD7EBC" w:rsidRDefault="007132AE" w:rsidP="00011402">
      <w:pPr>
        <w:pStyle w:val="BodyText"/>
        <w:ind w:left="100" w:right="114"/>
        <w:jc w:val="both"/>
        <w:outlineLvl w:val="0"/>
        <w:rPr>
          <w:b/>
          <w:lang w:val="en-GB"/>
        </w:rPr>
      </w:pPr>
      <w:r w:rsidRPr="00AD7EBC">
        <w:rPr>
          <w:b/>
          <w:lang w:val="en-GB"/>
        </w:rPr>
        <w:t>Impact</w:t>
      </w:r>
    </w:p>
    <w:p w14:paraId="5B065CD0" w14:textId="77777777" w:rsidR="007132AE" w:rsidRPr="00AD7EBC" w:rsidRDefault="007132AE" w:rsidP="003B2F05">
      <w:pPr>
        <w:pStyle w:val="BodyText"/>
        <w:numPr>
          <w:ilvl w:val="0"/>
          <w:numId w:val="17"/>
        </w:numPr>
        <w:ind w:right="114"/>
        <w:jc w:val="both"/>
        <w:rPr>
          <w:lang w:val="en-GB"/>
        </w:rPr>
      </w:pPr>
      <w:r w:rsidRPr="00AD7EBC">
        <w:rPr>
          <w:lang w:val="en-GB"/>
        </w:rPr>
        <w:t>What impact did the GEC Funding have on the transition of marginalized girls through educa</w:t>
      </w:r>
      <w:r w:rsidR="003B2F05" w:rsidRPr="00AD7EBC">
        <w:rPr>
          <w:lang w:val="en-GB"/>
        </w:rPr>
        <w:t>tion stages and their learning?</w:t>
      </w:r>
      <w:r w:rsidR="00D02D61" w:rsidRPr="00AD7EBC">
        <w:rPr>
          <w:rStyle w:val="FootnoteReference"/>
          <w:lang w:val="en-GB"/>
        </w:rPr>
        <w:footnoteReference w:customMarkFollows="1" w:id="5"/>
        <w:sym w:font="Symbol" w:char="F02A"/>
      </w:r>
    </w:p>
    <w:p w14:paraId="1E237021" w14:textId="77777777" w:rsidR="007132AE" w:rsidRPr="00AD7EBC" w:rsidRDefault="007132AE" w:rsidP="003B2F05">
      <w:pPr>
        <w:pStyle w:val="BodyText"/>
        <w:numPr>
          <w:ilvl w:val="0"/>
          <w:numId w:val="17"/>
        </w:numPr>
        <w:ind w:right="114"/>
        <w:jc w:val="both"/>
        <w:rPr>
          <w:lang w:val="en-GB"/>
        </w:rPr>
      </w:pPr>
      <w:r w:rsidRPr="00AD7EBC">
        <w:rPr>
          <w:lang w:val="en-GB"/>
        </w:rPr>
        <w:t>How many girls (and boys</w:t>
      </w:r>
      <w:r w:rsidR="00D02D61" w:rsidRPr="00AD7EBC">
        <w:rPr>
          <w:lang w:val="en-GB"/>
        </w:rPr>
        <w:t xml:space="preserve"> if relevant</w:t>
      </w:r>
      <w:r w:rsidRPr="00AD7EBC">
        <w:rPr>
          <w:lang w:val="en-GB"/>
        </w:rPr>
        <w:t>) have been positively affected by the project interventions?</w:t>
      </w:r>
    </w:p>
    <w:p w14:paraId="5091704A" w14:textId="0972C711" w:rsidR="007132AE" w:rsidRPr="00AD7EBC" w:rsidRDefault="007132AE" w:rsidP="003B2F05">
      <w:pPr>
        <w:pStyle w:val="BodyText"/>
        <w:numPr>
          <w:ilvl w:val="0"/>
          <w:numId w:val="17"/>
        </w:numPr>
        <w:ind w:right="114"/>
        <w:jc w:val="both"/>
        <w:rPr>
          <w:lang w:val="en-GB"/>
        </w:rPr>
      </w:pPr>
      <w:r w:rsidRPr="00AD7EBC">
        <w:rPr>
          <w:lang w:val="en-GB"/>
        </w:rPr>
        <w:t xml:space="preserve">What are the main results achieved by the project? And what are the key factors (and challenges if any) behind these achievements? </w:t>
      </w:r>
    </w:p>
    <w:p w14:paraId="5623B461" w14:textId="4CE12F7F" w:rsidR="00C67C2C" w:rsidRPr="00AD7EBC" w:rsidRDefault="00C67C2C" w:rsidP="00C67C2C">
      <w:pPr>
        <w:pStyle w:val="BodyText"/>
        <w:numPr>
          <w:ilvl w:val="0"/>
          <w:numId w:val="17"/>
        </w:numPr>
        <w:ind w:right="114"/>
        <w:jc w:val="both"/>
        <w:rPr>
          <w:lang w:val="en-GB"/>
        </w:rPr>
      </w:pPr>
      <w:r w:rsidRPr="00AD7EBC">
        <w:rPr>
          <w:lang w:val="en-GB"/>
        </w:rPr>
        <w:t>What effect has had the project’s work on social and gender norms (including CHOICES and Growing Great approaches) at the community level among different categories of stakeholders (e.g. parents, community leaders, religious leaders, etc.)?</w:t>
      </w:r>
    </w:p>
    <w:p w14:paraId="768D999A" w14:textId="77777777" w:rsidR="007132AE" w:rsidRPr="00AD7EBC" w:rsidRDefault="007132AE" w:rsidP="007132AE">
      <w:pPr>
        <w:pStyle w:val="BodyText"/>
        <w:ind w:left="100" w:right="114"/>
        <w:jc w:val="both"/>
        <w:rPr>
          <w:lang w:val="en-GB"/>
        </w:rPr>
      </w:pPr>
    </w:p>
    <w:p w14:paraId="314A972B" w14:textId="77777777" w:rsidR="007132AE" w:rsidRPr="00AD7EBC" w:rsidRDefault="007132AE" w:rsidP="00011402">
      <w:pPr>
        <w:pStyle w:val="BodyText"/>
        <w:ind w:left="100" w:right="114"/>
        <w:jc w:val="both"/>
        <w:outlineLvl w:val="0"/>
        <w:rPr>
          <w:b/>
          <w:lang w:val="en-GB"/>
        </w:rPr>
      </w:pPr>
      <w:r w:rsidRPr="00AD7EBC">
        <w:rPr>
          <w:b/>
          <w:lang w:val="en-GB"/>
        </w:rPr>
        <w:t>Sustainability</w:t>
      </w:r>
    </w:p>
    <w:p w14:paraId="15960798" w14:textId="77777777" w:rsidR="007132AE" w:rsidRPr="00AD7EBC" w:rsidRDefault="007132AE" w:rsidP="003B2F05">
      <w:pPr>
        <w:pStyle w:val="BodyText"/>
        <w:numPr>
          <w:ilvl w:val="0"/>
          <w:numId w:val="18"/>
        </w:numPr>
        <w:ind w:right="114"/>
        <w:jc w:val="both"/>
        <w:rPr>
          <w:lang w:val="en-GB"/>
        </w:rPr>
      </w:pPr>
      <w:r w:rsidRPr="00AD7EBC">
        <w:rPr>
          <w:lang w:val="en-GB"/>
        </w:rPr>
        <w:t>How sustainable were the activities funded by the GEC, and was the program successful in leveraging additional interest and i</w:t>
      </w:r>
      <w:r w:rsidR="003B2F05" w:rsidRPr="00AD7EBC">
        <w:rPr>
          <w:lang w:val="en-GB"/>
        </w:rPr>
        <w:t>nvestment?</w:t>
      </w:r>
      <w:r w:rsidR="00D02D61" w:rsidRPr="00AD7EBC">
        <w:rPr>
          <w:rStyle w:val="FootnoteReference"/>
          <w:lang w:val="en-GB"/>
        </w:rPr>
        <w:footnoteReference w:customMarkFollows="1" w:id="6"/>
        <w:sym w:font="Symbol" w:char="F02A"/>
      </w:r>
    </w:p>
    <w:p w14:paraId="37AE03D2" w14:textId="77777777" w:rsidR="007132AE" w:rsidRPr="00AD7EBC" w:rsidRDefault="007132AE" w:rsidP="003B2F05">
      <w:pPr>
        <w:pStyle w:val="BodyText"/>
        <w:numPr>
          <w:ilvl w:val="0"/>
          <w:numId w:val="18"/>
        </w:numPr>
        <w:ind w:right="114"/>
        <w:jc w:val="both"/>
        <w:rPr>
          <w:lang w:val="en-GB"/>
        </w:rPr>
      </w:pPr>
      <w:r w:rsidRPr="00AD7EBC">
        <w:rPr>
          <w:lang w:val="en-GB"/>
        </w:rPr>
        <w:t xml:space="preserve">Which interventions have the highest potential and likelihood of continuation after the </w:t>
      </w:r>
      <w:r w:rsidRPr="00AD7EBC">
        <w:rPr>
          <w:lang w:val="en-GB"/>
        </w:rPr>
        <w:lastRenderedPageBreak/>
        <w:t xml:space="preserve">project ends, and for scale-up? </w:t>
      </w:r>
    </w:p>
    <w:p w14:paraId="29D57292" w14:textId="77777777" w:rsidR="007132AE" w:rsidRPr="00AD7EBC" w:rsidRDefault="007132AE" w:rsidP="003B2F05">
      <w:pPr>
        <w:pStyle w:val="BodyText"/>
        <w:numPr>
          <w:ilvl w:val="0"/>
          <w:numId w:val="18"/>
        </w:numPr>
        <w:ind w:right="114"/>
        <w:jc w:val="both"/>
        <w:rPr>
          <w:lang w:val="en-GB"/>
        </w:rPr>
      </w:pPr>
      <w:r w:rsidRPr="00AD7EBC">
        <w:rPr>
          <w:lang w:val="en-GB"/>
        </w:rPr>
        <w:t xml:space="preserve">What are the key factors/aspects, which require more attention from the project to increase prospects of sustainability at intermediate outcomes and outcomes level? </w:t>
      </w:r>
    </w:p>
    <w:p w14:paraId="18489303" w14:textId="4200F0B5" w:rsidR="007132AE" w:rsidRPr="00AD7EBC" w:rsidRDefault="007132AE" w:rsidP="00AD7EBC">
      <w:pPr>
        <w:pStyle w:val="BodyText"/>
        <w:ind w:right="114"/>
        <w:jc w:val="both"/>
        <w:rPr>
          <w:lang w:val="en-GB"/>
        </w:rPr>
      </w:pPr>
    </w:p>
    <w:p w14:paraId="333C8ADF" w14:textId="77777777" w:rsidR="007132AE" w:rsidRPr="00AD7EBC" w:rsidRDefault="007132AE" w:rsidP="007132AE">
      <w:pPr>
        <w:pStyle w:val="BodyText"/>
        <w:ind w:left="100" w:right="114"/>
        <w:jc w:val="both"/>
        <w:rPr>
          <w:lang w:val="en-GB"/>
        </w:rPr>
      </w:pPr>
      <w:r w:rsidRPr="00AD7EBC">
        <w:rPr>
          <w:lang w:val="en-GB"/>
        </w:rPr>
        <w:t>Some of the evaluations questions related to Relevance (a), Effectiveness (c, d), Efficiency (c, e), Impact (c), and Sustainability (b, c) were designed with the aim of generating evidence that would feed into the project learning agenda. The findings resulting from these questions will indeed open doors to more learning and more adaptation to improve programming and sharpening the focus of the project’s interventions throughout the life of the project. By endline, the evaluation findings will lead to further evidence-based app</w:t>
      </w:r>
      <w:r w:rsidR="000F6B97" w:rsidRPr="00AD7EBC">
        <w:rPr>
          <w:lang w:val="en-GB"/>
        </w:rPr>
        <w:t>roaches and interventions, available</w:t>
      </w:r>
      <w:r w:rsidRPr="00AD7EBC">
        <w:rPr>
          <w:lang w:val="en-GB"/>
        </w:rPr>
        <w:t xml:space="preserve"> for </w:t>
      </w:r>
      <w:r w:rsidR="000F6B97" w:rsidRPr="00AD7EBC">
        <w:rPr>
          <w:lang w:val="en-GB"/>
        </w:rPr>
        <w:t xml:space="preserve">(future) </w:t>
      </w:r>
      <w:r w:rsidRPr="00AD7EBC">
        <w:rPr>
          <w:lang w:val="en-GB"/>
        </w:rPr>
        <w:t xml:space="preserve">similar projects to learn from, </w:t>
      </w:r>
      <w:r w:rsidR="000F6B97" w:rsidRPr="00AD7EBC">
        <w:rPr>
          <w:lang w:val="en-GB"/>
        </w:rPr>
        <w:t>to be shared widely among education actors and government bodies, and finally,</w:t>
      </w:r>
      <w:r w:rsidRPr="00AD7EBC">
        <w:rPr>
          <w:lang w:val="en-GB"/>
        </w:rPr>
        <w:t xml:space="preserve"> potentially</w:t>
      </w:r>
      <w:r w:rsidR="000F6B97" w:rsidRPr="00AD7EBC">
        <w:rPr>
          <w:lang w:val="en-GB"/>
        </w:rPr>
        <w:t xml:space="preserve"> for</w:t>
      </w:r>
      <w:r w:rsidRPr="00AD7EBC">
        <w:rPr>
          <w:lang w:val="en-GB"/>
        </w:rPr>
        <w:t xml:space="preserve"> scale-up.</w:t>
      </w:r>
    </w:p>
    <w:p w14:paraId="2EB541DC" w14:textId="7AB107B7" w:rsidR="008557EF" w:rsidRPr="00AD7EBC" w:rsidRDefault="008557EF" w:rsidP="007C7D0F">
      <w:pPr>
        <w:pStyle w:val="BodyText"/>
        <w:spacing w:before="6"/>
        <w:rPr>
          <w:sz w:val="20"/>
          <w:lang w:val="en-GB"/>
        </w:rPr>
      </w:pPr>
    </w:p>
    <w:p w14:paraId="28BD0022" w14:textId="13C45BB2" w:rsidR="007C7D0F" w:rsidRPr="00AD7EBC" w:rsidRDefault="007C7D0F" w:rsidP="00C21EEA">
      <w:pPr>
        <w:pStyle w:val="Heading2"/>
        <w:rPr>
          <w:i/>
        </w:rPr>
      </w:pPr>
      <w:bookmarkStart w:id="5" w:name="_Toc506203079"/>
      <w:r w:rsidRPr="00AD7EBC">
        <w:t>Evaluation design</w:t>
      </w:r>
      <w:bookmarkEnd w:id="5"/>
    </w:p>
    <w:p w14:paraId="1F8E179D" w14:textId="77777777" w:rsidR="007C7D0F" w:rsidRPr="00AD7EBC" w:rsidRDefault="007C7D0F" w:rsidP="007C7D0F">
      <w:pPr>
        <w:pStyle w:val="BodyText"/>
        <w:spacing w:before="6"/>
        <w:rPr>
          <w:sz w:val="20"/>
          <w:lang w:val="en-GB"/>
        </w:rPr>
      </w:pPr>
    </w:p>
    <w:p w14:paraId="292CA5FF" w14:textId="5A32F742" w:rsidR="007C7D0F" w:rsidRPr="00A927BC" w:rsidRDefault="00A927BC" w:rsidP="00A927BC">
      <w:pPr>
        <w:pStyle w:val="Heading3"/>
      </w:pPr>
      <w:r w:rsidRPr="00A927BC">
        <w:t xml:space="preserve">5.1 </w:t>
      </w:r>
      <w:r w:rsidR="007C7D0F" w:rsidRPr="00A927BC">
        <w:t>Research design</w:t>
      </w:r>
    </w:p>
    <w:p w14:paraId="6985496A" w14:textId="75BABFB4" w:rsidR="00911690" w:rsidRPr="00AD7EBC" w:rsidRDefault="00911690" w:rsidP="00911690">
      <w:pPr>
        <w:tabs>
          <w:tab w:val="left" w:pos="880"/>
          <w:tab w:val="left" w:pos="881"/>
        </w:tabs>
        <w:spacing w:before="37" w:line="271" w:lineRule="auto"/>
        <w:ind w:right="118"/>
        <w:rPr>
          <w:i/>
          <w:sz w:val="20"/>
          <w:lang w:val="en-GB"/>
        </w:rPr>
      </w:pPr>
    </w:p>
    <w:p w14:paraId="385038CF" w14:textId="1094D061" w:rsidR="00911690" w:rsidRPr="00AD7EBC" w:rsidRDefault="00911690" w:rsidP="00911690">
      <w:pPr>
        <w:pStyle w:val="BodyText"/>
        <w:jc w:val="both"/>
        <w:rPr>
          <w:lang w:val="en-GB"/>
        </w:rPr>
      </w:pPr>
      <w:r w:rsidRPr="00AD7EBC">
        <w:rPr>
          <w:lang w:val="en-GB"/>
        </w:rPr>
        <w:t>The project will apply a rigorous evaluation approa</w:t>
      </w:r>
      <w:r w:rsidR="007B557F" w:rsidRPr="00AD7EBC">
        <w:rPr>
          <w:lang w:val="en-GB"/>
        </w:rPr>
        <w:t>ch to measure the impacts of its interventions</w:t>
      </w:r>
      <w:r w:rsidRPr="00AD7EBC">
        <w:rPr>
          <w:lang w:val="en-GB"/>
        </w:rPr>
        <w:t xml:space="preserve"> in </w:t>
      </w:r>
      <w:r w:rsidR="00853A01" w:rsidRPr="00AD7EBC">
        <w:rPr>
          <w:lang w:val="en-GB"/>
        </w:rPr>
        <w:t>the six</w:t>
      </w:r>
      <w:r w:rsidR="007B557F" w:rsidRPr="00AD7EBC">
        <w:rPr>
          <w:lang w:val="en-GB"/>
        </w:rPr>
        <w:t xml:space="preserve"> provinces where they are</w:t>
      </w:r>
      <w:r w:rsidRPr="00AD7EBC">
        <w:rPr>
          <w:lang w:val="en-GB"/>
        </w:rPr>
        <w:t xml:space="preserve"> implemented. It is expected that the external evaluators </w:t>
      </w:r>
      <w:r w:rsidR="007B557F" w:rsidRPr="00AD7EBC">
        <w:rPr>
          <w:lang w:val="en-GB"/>
        </w:rPr>
        <w:t xml:space="preserve">will </w:t>
      </w:r>
      <w:r w:rsidRPr="00AD7EBC">
        <w:rPr>
          <w:lang w:val="en-GB"/>
        </w:rPr>
        <w:t>conduct a gender-sensitive evaluation that is also inclusive</w:t>
      </w:r>
      <w:r w:rsidR="007B557F" w:rsidRPr="00AD7EBC">
        <w:rPr>
          <w:lang w:val="en-GB"/>
        </w:rPr>
        <w:t xml:space="preserve"> of persons with disability as best practice</w:t>
      </w:r>
      <w:r w:rsidRPr="00AD7EBC">
        <w:rPr>
          <w:lang w:val="en-GB"/>
        </w:rPr>
        <w:t>. T</w:t>
      </w:r>
      <w:r w:rsidR="007B557F" w:rsidRPr="00AD7EBC">
        <w:rPr>
          <w:lang w:val="en-GB"/>
        </w:rPr>
        <w:t>he evaluation for REALISE</w:t>
      </w:r>
      <w:r w:rsidRPr="00AD7EBC">
        <w:rPr>
          <w:lang w:val="en-GB"/>
        </w:rPr>
        <w:t xml:space="preserve"> will adopt a mixed-method quasi-experimental research design, as a randomized controlled trial would require the project to randomly select girls to be part of a treatment group and </w:t>
      </w:r>
      <w:r w:rsidR="007B557F" w:rsidRPr="00AD7EBC">
        <w:rPr>
          <w:lang w:val="en-GB"/>
        </w:rPr>
        <w:t xml:space="preserve">a </w:t>
      </w:r>
      <w:r w:rsidRPr="00AD7EBC">
        <w:rPr>
          <w:lang w:val="en-GB"/>
        </w:rPr>
        <w:t xml:space="preserve">control group, which is not the appropriate approach for GEC-T as the project works with the same beneficiaries as GEC 1. To enable comparison of the outcomes achieved by the project’s target group with the outcomes achieved by a group who are </w:t>
      </w:r>
      <w:r w:rsidR="007B557F" w:rsidRPr="00AD7EBC">
        <w:rPr>
          <w:lang w:val="en-GB"/>
        </w:rPr>
        <w:t xml:space="preserve">as </w:t>
      </w:r>
      <w:r w:rsidRPr="00AD7EBC">
        <w:rPr>
          <w:lang w:val="en-GB"/>
        </w:rPr>
        <w:t>similar</w:t>
      </w:r>
      <w:r w:rsidR="007B557F" w:rsidRPr="00AD7EBC">
        <w:rPr>
          <w:lang w:val="en-GB"/>
        </w:rPr>
        <w:t xml:space="preserve"> as possible </w:t>
      </w:r>
      <w:r w:rsidRPr="00AD7EBC">
        <w:rPr>
          <w:lang w:val="en-GB"/>
        </w:rPr>
        <w:t>to the target group but didn’t receive any interventions, the evalu</w:t>
      </w:r>
      <w:r w:rsidR="007B557F" w:rsidRPr="00AD7EBC">
        <w:rPr>
          <w:lang w:val="en-GB"/>
        </w:rPr>
        <w:t>ation will seek to use a comparison group</w:t>
      </w:r>
      <w:r w:rsidRPr="00AD7EBC">
        <w:rPr>
          <w:lang w:val="en-GB"/>
        </w:rPr>
        <w:t xml:space="preserve"> to evaluate the results of the project and determine a causal effect of our interventions where possible. </w:t>
      </w:r>
    </w:p>
    <w:p w14:paraId="380AC7B2" w14:textId="109BC2D2" w:rsidR="0052393D" w:rsidRPr="00AD7EBC" w:rsidRDefault="0052393D" w:rsidP="00911690">
      <w:pPr>
        <w:pStyle w:val="BodyText"/>
        <w:jc w:val="both"/>
        <w:rPr>
          <w:lang w:val="en-GB"/>
        </w:rPr>
      </w:pPr>
    </w:p>
    <w:p w14:paraId="1D733470" w14:textId="32CBED36" w:rsidR="0052393D" w:rsidRPr="00AD7EBC" w:rsidRDefault="0052393D" w:rsidP="00CF1701">
      <w:pPr>
        <w:jc w:val="both"/>
        <w:rPr>
          <w:lang w:val="en-GB"/>
        </w:rPr>
      </w:pPr>
      <w:r w:rsidRPr="00AD7EBC">
        <w:rPr>
          <w:lang w:val="en-GB"/>
        </w:rPr>
        <w:t xml:space="preserve">However, </w:t>
      </w:r>
      <w:r w:rsidRPr="00CF1701">
        <w:t>there</w:t>
      </w:r>
      <w:r w:rsidRPr="00AD7EBC">
        <w:rPr>
          <w:lang w:val="en-GB"/>
        </w:rPr>
        <w:t xml:space="preserve"> are three caveats / condit</w:t>
      </w:r>
      <w:r w:rsidR="00AC7235" w:rsidRPr="00AD7EBC">
        <w:rPr>
          <w:lang w:val="en-GB"/>
        </w:rPr>
        <w:t xml:space="preserve">ions </w:t>
      </w:r>
      <w:r w:rsidR="00855A0A" w:rsidRPr="00AD7EBC">
        <w:rPr>
          <w:lang w:val="en-GB"/>
        </w:rPr>
        <w:t>that the pro</w:t>
      </w:r>
      <w:r w:rsidR="00CF1701">
        <w:rPr>
          <w:lang w:val="en-GB"/>
        </w:rPr>
        <w:t xml:space="preserve">ject team would like to specify </w:t>
      </w:r>
      <w:r w:rsidR="00855A0A" w:rsidRPr="00AD7EBC">
        <w:rPr>
          <w:lang w:val="en-GB"/>
        </w:rPr>
        <w:t>regarding the quasi-experimental design of the evaluations</w:t>
      </w:r>
      <w:r w:rsidRPr="00AD7EBC">
        <w:rPr>
          <w:lang w:val="en-GB"/>
        </w:rPr>
        <w:t>:</w:t>
      </w:r>
    </w:p>
    <w:p w14:paraId="67AF7777" w14:textId="70D0FE7B" w:rsidR="0052393D" w:rsidRPr="00AD7EBC" w:rsidRDefault="0052393D" w:rsidP="003D0CCF">
      <w:pPr>
        <w:pStyle w:val="BodyText"/>
        <w:numPr>
          <w:ilvl w:val="0"/>
          <w:numId w:val="22"/>
        </w:numPr>
        <w:ind w:left="360"/>
        <w:jc w:val="both"/>
        <w:rPr>
          <w:lang w:val="en-GB"/>
        </w:rPr>
      </w:pPr>
      <w:r w:rsidRPr="00AD7EBC">
        <w:rPr>
          <w:lang w:val="en-GB"/>
        </w:rPr>
        <w:t xml:space="preserve">During the previous phase of the project, the team of evaluators ran into a major challenge when collecting data in the field, as control schools refused to provide the information needed to the EE, and even refused to talk to them as they were very unhappy about not benefitting from any interventions from the project. To address this ethical issue, the REALISE team </w:t>
      </w:r>
      <w:r w:rsidR="00855A0A" w:rsidRPr="00AD7EBC">
        <w:rPr>
          <w:lang w:val="en-GB"/>
        </w:rPr>
        <w:t>will be providing</w:t>
      </w:r>
      <w:r w:rsidRPr="00AD7EBC">
        <w:rPr>
          <w:lang w:val="en-GB"/>
        </w:rPr>
        <w:t xml:space="preserve"> a minimal package to control schools/communities, which would include a “class kit” and a solar la</w:t>
      </w:r>
      <w:r w:rsidR="00855A0A" w:rsidRPr="00AD7EBC">
        <w:rPr>
          <w:lang w:val="en-GB"/>
        </w:rPr>
        <w:t xml:space="preserve">mp (Little Sun solar lamp). These two elements aren’t considered as intensive activities, nor expected to </w:t>
      </w:r>
      <w:r w:rsidR="00FE1A3B" w:rsidRPr="00AD7EBC">
        <w:rPr>
          <w:lang w:val="en-GB"/>
        </w:rPr>
        <w:t>heavily affect</w:t>
      </w:r>
      <w:r w:rsidR="00855A0A" w:rsidRPr="00AD7EBC">
        <w:rPr>
          <w:lang w:val="en-GB"/>
        </w:rPr>
        <w:t xml:space="preserve"> the girls’ learning and transition outcomes in the control schools and communities’ setting</w:t>
      </w:r>
      <w:r w:rsidRPr="00AD7EBC">
        <w:rPr>
          <w:lang w:val="en-GB"/>
        </w:rPr>
        <w:t xml:space="preserve">. </w:t>
      </w:r>
    </w:p>
    <w:p w14:paraId="5186F4B5" w14:textId="3F42FCFD" w:rsidR="0052393D" w:rsidRPr="00AD7EBC" w:rsidRDefault="00855A0A" w:rsidP="003D0CCF">
      <w:pPr>
        <w:pStyle w:val="BodyText"/>
        <w:numPr>
          <w:ilvl w:val="0"/>
          <w:numId w:val="22"/>
        </w:numPr>
        <w:ind w:left="360"/>
        <w:jc w:val="both"/>
        <w:rPr>
          <w:lang w:val="en-GB"/>
        </w:rPr>
      </w:pPr>
      <w:r w:rsidRPr="00AD7EBC">
        <w:rPr>
          <w:lang w:val="en-GB"/>
        </w:rPr>
        <w:t>In addition, t</w:t>
      </w:r>
      <w:r w:rsidR="0052393D" w:rsidRPr="00AD7EBC">
        <w:rPr>
          <w:lang w:val="en-GB"/>
        </w:rPr>
        <w:t>he DRC, and especially the provinces where R</w:t>
      </w:r>
      <w:r w:rsidRPr="00AD7EBC">
        <w:rPr>
          <w:lang w:val="en-GB"/>
        </w:rPr>
        <w:t>EALISE is being implemented, is categoriz</w:t>
      </w:r>
      <w:r w:rsidR="0052393D" w:rsidRPr="00AD7EBC">
        <w:rPr>
          <w:lang w:val="en-GB"/>
        </w:rPr>
        <w:t xml:space="preserve">ed as </w:t>
      </w:r>
      <w:r w:rsidRPr="00AD7EBC">
        <w:rPr>
          <w:lang w:val="en-GB"/>
        </w:rPr>
        <w:t xml:space="preserve">an </w:t>
      </w:r>
      <w:r w:rsidR="0052393D" w:rsidRPr="00AD7EBC">
        <w:rPr>
          <w:lang w:val="en-GB"/>
        </w:rPr>
        <w:t xml:space="preserve">FCAS, where violence and internal displacement have increased quickly in the past year. This situation is unlikely to improve during the project life due to on-going political instability and insecurity. As such, the project is required to define a contingency plan for its programming, which means potentially transforming its current and “normal” package of interventions into an emergency package of education interventions (in line with the Education in Emergencies programming). What this means practically is that when and if an area where our treatment and control schools/communities </w:t>
      </w:r>
      <w:r w:rsidR="00AD7EBC">
        <w:rPr>
          <w:lang w:val="en-GB"/>
        </w:rPr>
        <w:t>experience</w:t>
      </w:r>
      <w:r w:rsidR="0052393D" w:rsidRPr="00AD7EBC">
        <w:rPr>
          <w:lang w:val="en-GB"/>
        </w:rPr>
        <w:t xml:space="preserve"> a state of emergency due to conflict, REALISE will replace the current package of interventions with its education in emergen</w:t>
      </w:r>
      <w:r w:rsidRPr="00AD7EBC">
        <w:rPr>
          <w:lang w:val="en-GB"/>
        </w:rPr>
        <w:t>cy interventions</w:t>
      </w:r>
      <w:r w:rsidR="00FE1A3B" w:rsidRPr="00AD7EBC">
        <w:rPr>
          <w:lang w:val="en-GB"/>
        </w:rPr>
        <w:t xml:space="preserve">. </w:t>
      </w:r>
      <w:r w:rsidR="0052393D" w:rsidRPr="00AD7EBC">
        <w:rPr>
          <w:lang w:val="en-GB"/>
        </w:rPr>
        <w:t xml:space="preserve">When and if this happens, </w:t>
      </w:r>
      <w:r w:rsidRPr="00AD7EBC">
        <w:rPr>
          <w:lang w:val="en-GB"/>
        </w:rPr>
        <w:t xml:space="preserve">both </w:t>
      </w:r>
      <w:r w:rsidR="0052393D" w:rsidRPr="00AD7EBC">
        <w:rPr>
          <w:lang w:val="en-GB"/>
        </w:rPr>
        <w:t>treatment and control schools in emergency areas will all receive the education in emergency package, which means they might not be comparable</w:t>
      </w:r>
      <w:r w:rsidRPr="00AD7EBC">
        <w:rPr>
          <w:lang w:val="en-GB"/>
        </w:rPr>
        <w:t xml:space="preserve"> anymore,</w:t>
      </w:r>
      <w:r w:rsidR="0052393D" w:rsidRPr="00AD7EBC">
        <w:rPr>
          <w:lang w:val="en-GB"/>
        </w:rPr>
        <w:t xml:space="preserve"> and</w:t>
      </w:r>
      <w:r w:rsidRPr="00AD7EBC">
        <w:rPr>
          <w:lang w:val="en-GB"/>
        </w:rPr>
        <w:t xml:space="preserve"> can no longer</w:t>
      </w:r>
      <w:r w:rsidR="0052393D" w:rsidRPr="00AD7EBC">
        <w:rPr>
          <w:lang w:val="en-GB"/>
        </w:rPr>
        <w:t xml:space="preserve"> be used for the </w:t>
      </w:r>
      <w:proofErr w:type="spellStart"/>
      <w:r w:rsidR="0052393D" w:rsidRPr="00AD7EBC">
        <w:rPr>
          <w:lang w:val="en-GB"/>
        </w:rPr>
        <w:lastRenderedPageBreak/>
        <w:t>DiD</w:t>
      </w:r>
      <w:proofErr w:type="spellEnd"/>
      <w:r w:rsidR="0052393D" w:rsidRPr="00AD7EBC">
        <w:rPr>
          <w:lang w:val="en-GB"/>
        </w:rPr>
        <w:t xml:space="preserve"> analysis.</w:t>
      </w:r>
      <w:r w:rsidR="00FE1A3B" w:rsidRPr="00AD7EBC">
        <w:rPr>
          <w:lang w:val="en-GB"/>
        </w:rPr>
        <w:t xml:space="preserve"> For both security and ethical reasons, when the project cannot continue with its “normal” package of interventions during a state of emergency in one or several affected areas, both the affected intervention and control schools will need to be excluded from the regular evaluation process. Flexibility </w:t>
      </w:r>
      <w:r w:rsidR="00AD7EBC" w:rsidRPr="00AD7EBC">
        <w:rPr>
          <w:lang w:val="en-GB"/>
        </w:rPr>
        <w:t>in regard to</w:t>
      </w:r>
      <w:r w:rsidR="00FE1A3B" w:rsidRPr="00AD7EBC">
        <w:rPr>
          <w:lang w:val="en-GB"/>
        </w:rPr>
        <w:t xml:space="preserve"> conflict affected schools by the EE and the project will be required in order to ensure that results from evaluations are not biased. A larger initial sample will be collected in order to compensate for this higher attrition rate.</w:t>
      </w:r>
      <w:r w:rsidR="0052393D" w:rsidRPr="00AD7EBC">
        <w:rPr>
          <w:lang w:val="en-GB"/>
        </w:rPr>
        <w:t xml:space="preserve"> </w:t>
      </w:r>
    </w:p>
    <w:p w14:paraId="428DACE2" w14:textId="3AFECCB7" w:rsidR="0052393D" w:rsidRPr="00AD7EBC" w:rsidRDefault="0052393D" w:rsidP="003D0CCF">
      <w:pPr>
        <w:pStyle w:val="BodyText"/>
        <w:numPr>
          <w:ilvl w:val="0"/>
          <w:numId w:val="22"/>
        </w:numPr>
        <w:ind w:left="360"/>
        <w:jc w:val="both"/>
        <w:rPr>
          <w:lang w:val="en-GB"/>
        </w:rPr>
      </w:pPr>
      <w:r w:rsidRPr="00AD7EBC">
        <w:rPr>
          <w:lang w:val="en-GB"/>
        </w:rPr>
        <w:t xml:space="preserve">Throughout the project, if the team notices </w:t>
      </w:r>
      <w:r w:rsidR="00852920" w:rsidRPr="00AD7EBC">
        <w:rPr>
          <w:lang w:val="en-GB"/>
        </w:rPr>
        <w:t xml:space="preserve">that </w:t>
      </w:r>
      <w:r w:rsidRPr="00AD7EBC">
        <w:rPr>
          <w:lang w:val="en-GB"/>
        </w:rPr>
        <w:t xml:space="preserve">a high number of project areas have become areas under the emergency status, and </w:t>
      </w:r>
      <w:r w:rsidR="00852920" w:rsidRPr="00AD7EBC">
        <w:rPr>
          <w:lang w:val="en-GB"/>
        </w:rPr>
        <w:t xml:space="preserve">that </w:t>
      </w:r>
      <w:r w:rsidRPr="00AD7EBC">
        <w:rPr>
          <w:lang w:val="en-GB"/>
        </w:rPr>
        <w:t>a quasi-experimental design seems highly compromised, the project team will seek to conduct a cross-sectional pre-post study instead</w:t>
      </w:r>
      <w:r w:rsidR="00FE1A3B" w:rsidRPr="00AD7EBC">
        <w:rPr>
          <w:lang w:val="en-GB"/>
        </w:rPr>
        <w:t>, using the initial data</w:t>
      </w:r>
      <w:r w:rsidRPr="00AD7EBC">
        <w:rPr>
          <w:lang w:val="en-GB"/>
        </w:rPr>
        <w:t>.</w:t>
      </w:r>
    </w:p>
    <w:p w14:paraId="78A039CF" w14:textId="77777777" w:rsidR="00911690" w:rsidRPr="00AD7EBC" w:rsidRDefault="00911690" w:rsidP="00911690">
      <w:pPr>
        <w:pStyle w:val="BodyText"/>
        <w:jc w:val="both"/>
        <w:rPr>
          <w:lang w:val="en-GB"/>
        </w:rPr>
      </w:pPr>
    </w:p>
    <w:p w14:paraId="35D6A785" w14:textId="536E54B8" w:rsidR="00911690" w:rsidRPr="00AD7EBC" w:rsidRDefault="00715C94" w:rsidP="00911690">
      <w:pPr>
        <w:pStyle w:val="BodyText"/>
        <w:jc w:val="both"/>
        <w:rPr>
          <w:lang w:val="en-GB"/>
        </w:rPr>
      </w:pPr>
      <w:r w:rsidRPr="00AD7EBC">
        <w:rPr>
          <w:lang w:val="en-GB"/>
        </w:rPr>
        <w:t>As part of the quasi-experimental study, t</w:t>
      </w:r>
      <w:r w:rsidR="00911690" w:rsidRPr="00AD7EBC">
        <w:rPr>
          <w:lang w:val="en-GB"/>
        </w:rPr>
        <w:t xml:space="preserve">he external evaluators will be required to select a new sample of cohort of girls in order to track their learning and transition outcomes over time (longitudinal cohort tracking). The project has decided to have </w:t>
      </w:r>
      <w:r w:rsidR="00911690" w:rsidRPr="00AD7EBC">
        <w:rPr>
          <w:b/>
          <w:lang w:val="en-GB"/>
        </w:rPr>
        <w:t>one joint learning and transition cohort</w:t>
      </w:r>
      <w:r w:rsidR="00911690" w:rsidRPr="00AD7EBC">
        <w:rPr>
          <w:lang w:val="en-GB"/>
        </w:rPr>
        <w:t xml:space="preserve"> as it is mor</w:t>
      </w:r>
      <w:r w:rsidR="00AD7EBC">
        <w:rPr>
          <w:lang w:val="en-GB"/>
        </w:rPr>
        <w:t>e rigorous yet easier to manage</w:t>
      </w:r>
      <w:r w:rsidR="00911690" w:rsidRPr="00AD7EBC">
        <w:rPr>
          <w:lang w:val="en-GB"/>
        </w:rPr>
        <w:t xml:space="preserve"> and allows for better linkages between learning outcomes and impact on transition. The project </w:t>
      </w:r>
      <w:r w:rsidR="00671B66">
        <w:rPr>
          <w:lang w:val="en-GB"/>
        </w:rPr>
        <w:t xml:space="preserve">Vas-y-fille </w:t>
      </w:r>
      <w:r w:rsidR="00911690" w:rsidRPr="00AD7EBC">
        <w:rPr>
          <w:lang w:val="en-GB"/>
        </w:rPr>
        <w:t xml:space="preserve">(GEC 1) has encountered </w:t>
      </w:r>
      <w:r w:rsidRPr="00AD7EBC">
        <w:rPr>
          <w:lang w:val="en-GB"/>
        </w:rPr>
        <w:t xml:space="preserve">a high attrition rate </w:t>
      </w:r>
      <w:r w:rsidR="00911690" w:rsidRPr="00AD7EBC">
        <w:rPr>
          <w:lang w:val="en-GB"/>
        </w:rPr>
        <w:t xml:space="preserve">in tracking and evaluating the same cohort </w:t>
      </w:r>
      <w:r w:rsidRPr="00AD7EBC">
        <w:rPr>
          <w:lang w:val="en-GB"/>
        </w:rPr>
        <w:t>of girls over</w:t>
      </w:r>
      <w:r w:rsidR="00AD7EBC">
        <w:rPr>
          <w:lang w:val="en-GB"/>
        </w:rPr>
        <w:t xml:space="preserve"> </w:t>
      </w:r>
      <w:r w:rsidRPr="00AD7EBC">
        <w:rPr>
          <w:lang w:val="en-GB"/>
        </w:rPr>
        <w:t>time, which is why it is</w:t>
      </w:r>
      <w:r w:rsidR="00911690" w:rsidRPr="00AD7EBC">
        <w:rPr>
          <w:lang w:val="en-GB"/>
        </w:rPr>
        <w:t xml:space="preserve"> best to start fresh with a new sample of girls, although these girls are still the same beneficiaries as GEC1. </w:t>
      </w:r>
      <w:r w:rsidR="005A1FFA" w:rsidRPr="00AD7EBC">
        <w:rPr>
          <w:lang w:val="en-GB"/>
        </w:rPr>
        <w:t>Only a subsample of the schools</w:t>
      </w:r>
      <w:r w:rsidR="00AC756C" w:rsidRPr="00AD7EBC">
        <w:rPr>
          <w:lang w:val="en-GB"/>
        </w:rPr>
        <w:t xml:space="preserve"> and AEP centres</w:t>
      </w:r>
      <w:r w:rsidR="005A1FFA" w:rsidRPr="00AD7EBC">
        <w:rPr>
          <w:lang w:val="en-GB"/>
        </w:rPr>
        <w:t xml:space="preserve"> that REALISE works with will be included in the evaluation – please refer to the </w:t>
      </w:r>
      <w:r w:rsidR="007770D4" w:rsidRPr="00AD7EBC">
        <w:rPr>
          <w:lang w:val="en-GB"/>
        </w:rPr>
        <w:t>section 6</w:t>
      </w:r>
      <w:r w:rsidR="005A1FFA" w:rsidRPr="00AD7EBC">
        <w:rPr>
          <w:lang w:val="en-GB"/>
        </w:rPr>
        <w:t>.4 below on ‘Power Calculations and sample sizes” for more information on the sampling approach.</w:t>
      </w:r>
    </w:p>
    <w:p w14:paraId="06E573C2" w14:textId="77777777" w:rsidR="00911690" w:rsidRPr="00AD7EBC" w:rsidRDefault="00911690" w:rsidP="00911690">
      <w:pPr>
        <w:pStyle w:val="BodyText"/>
        <w:jc w:val="both"/>
        <w:rPr>
          <w:lang w:val="en-GB"/>
        </w:rPr>
      </w:pPr>
    </w:p>
    <w:p w14:paraId="2B96962C" w14:textId="1F1166CC" w:rsidR="00911690" w:rsidRPr="00AD7EBC" w:rsidRDefault="00911690" w:rsidP="00911690">
      <w:pPr>
        <w:pStyle w:val="BodyText"/>
        <w:jc w:val="both"/>
        <w:rPr>
          <w:lang w:val="en-GB"/>
        </w:rPr>
      </w:pPr>
      <w:r w:rsidRPr="00AD7EBC">
        <w:rPr>
          <w:lang w:val="en-GB"/>
        </w:rPr>
        <w:t xml:space="preserve">At outcome level, the evaluation will be using a control group to allow for robust comparison with the treatment group, therefore understanding the direct influence and net effect of the project’s interventions. At intermediate outcome level, the evaluation is not required to use a control group, and therefore will assess </w:t>
      </w:r>
      <w:r w:rsidR="00A43B58" w:rsidRPr="00AD7EBC">
        <w:rPr>
          <w:lang w:val="en-GB"/>
        </w:rPr>
        <w:t>changes and results over time and compared to the baseline findings</w:t>
      </w:r>
      <w:r w:rsidRPr="00AD7EBC">
        <w:rPr>
          <w:lang w:val="en-GB"/>
        </w:rPr>
        <w:t xml:space="preserve">. The data collection approach at both levels will include a mixture of quantitative and qualitative approaches. Where appropriate, </w:t>
      </w:r>
      <w:r w:rsidRPr="00AD7EBC">
        <w:rPr>
          <w:b/>
          <w:lang w:val="en-GB"/>
        </w:rPr>
        <w:t>intermediate outcomes and outcomes indicators will be disaggregated by age, gender, geography, disability (type and severity) and other relevant subgroups</w:t>
      </w:r>
      <w:r w:rsidRPr="00AD7EBC">
        <w:rPr>
          <w:lang w:val="en-GB"/>
        </w:rPr>
        <w:t>. These subgroups include:</w:t>
      </w:r>
    </w:p>
    <w:p w14:paraId="1EFA3D02" w14:textId="371EDCD8" w:rsidR="00911690" w:rsidRPr="00AD7EBC" w:rsidRDefault="00911690" w:rsidP="00911690">
      <w:pPr>
        <w:pStyle w:val="BodyText"/>
        <w:numPr>
          <w:ilvl w:val="0"/>
          <w:numId w:val="20"/>
        </w:numPr>
        <w:jc w:val="both"/>
        <w:rPr>
          <w:lang w:val="en-GB"/>
        </w:rPr>
      </w:pPr>
      <w:r w:rsidRPr="00AD7EBC">
        <w:rPr>
          <w:lang w:val="en-GB"/>
        </w:rPr>
        <w:t>Girls living in areas</w:t>
      </w:r>
      <w:r w:rsidR="00715C94" w:rsidRPr="00AD7EBC">
        <w:rPr>
          <w:lang w:val="en-GB"/>
        </w:rPr>
        <w:t xml:space="preserve"> affected by conflict chronically or acutely </w:t>
      </w:r>
    </w:p>
    <w:p w14:paraId="0103254F" w14:textId="77777777" w:rsidR="00911690" w:rsidRPr="00AD7EBC" w:rsidRDefault="00911690" w:rsidP="00911690">
      <w:pPr>
        <w:pStyle w:val="BodyText"/>
        <w:numPr>
          <w:ilvl w:val="0"/>
          <w:numId w:val="20"/>
        </w:numPr>
        <w:jc w:val="both"/>
        <w:rPr>
          <w:lang w:val="en-GB"/>
        </w:rPr>
      </w:pPr>
      <w:r w:rsidRPr="00AD7EBC">
        <w:rPr>
          <w:lang w:val="en-GB"/>
        </w:rPr>
        <w:t>Girls under 18 who are married and/or have children</w:t>
      </w:r>
    </w:p>
    <w:p w14:paraId="70BB0849" w14:textId="4D94269A" w:rsidR="00911690" w:rsidRPr="00AD7EBC" w:rsidRDefault="00911690" w:rsidP="00911690">
      <w:pPr>
        <w:pStyle w:val="BodyText"/>
        <w:numPr>
          <w:ilvl w:val="0"/>
          <w:numId w:val="20"/>
        </w:numPr>
        <w:jc w:val="both"/>
        <w:rPr>
          <w:lang w:val="en-GB"/>
        </w:rPr>
      </w:pPr>
      <w:r w:rsidRPr="00AD7EBC">
        <w:rPr>
          <w:lang w:val="en-GB"/>
        </w:rPr>
        <w:t>Girls who do not understand the language o</w:t>
      </w:r>
      <w:r w:rsidR="00715C94" w:rsidRPr="00AD7EBC">
        <w:rPr>
          <w:lang w:val="en-GB"/>
        </w:rPr>
        <w:t>f instruction (LOI) – French</w:t>
      </w:r>
    </w:p>
    <w:p w14:paraId="4799BCD5" w14:textId="5651906C" w:rsidR="00A922E3" w:rsidRPr="00AD7EBC" w:rsidRDefault="00A922E3" w:rsidP="00911690">
      <w:pPr>
        <w:pStyle w:val="BodyText"/>
        <w:numPr>
          <w:ilvl w:val="0"/>
          <w:numId w:val="20"/>
        </w:numPr>
        <w:jc w:val="both"/>
        <w:rPr>
          <w:lang w:val="en-GB"/>
        </w:rPr>
      </w:pPr>
      <w:r w:rsidRPr="00AD7EBC">
        <w:rPr>
          <w:lang w:val="en-GB"/>
        </w:rPr>
        <w:t xml:space="preserve">Girls who belong to indigenous population </w:t>
      </w:r>
    </w:p>
    <w:p w14:paraId="121E5FAC" w14:textId="6044996F" w:rsidR="0012619C" w:rsidRPr="00AD7EBC" w:rsidRDefault="0012619C" w:rsidP="00911690">
      <w:pPr>
        <w:pStyle w:val="BodyText"/>
        <w:numPr>
          <w:ilvl w:val="0"/>
          <w:numId w:val="20"/>
        </w:numPr>
        <w:jc w:val="both"/>
        <w:rPr>
          <w:lang w:val="en-GB"/>
        </w:rPr>
      </w:pPr>
      <w:r w:rsidRPr="00AD7EBC">
        <w:rPr>
          <w:lang w:val="en-GB"/>
        </w:rPr>
        <w:t>Girls attending AEP centres</w:t>
      </w:r>
    </w:p>
    <w:p w14:paraId="5239C863" w14:textId="77777777" w:rsidR="00911690" w:rsidRPr="00AD7EBC" w:rsidRDefault="00911690" w:rsidP="00911690">
      <w:pPr>
        <w:pStyle w:val="BodyText"/>
        <w:jc w:val="both"/>
        <w:rPr>
          <w:lang w:val="en-GB"/>
        </w:rPr>
      </w:pPr>
    </w:p>
    <w:p w14:paraId="0DC96AB0" w14:textId="1DCC755B" w:rsidR="00911690" w:rsidRPr="00AD7EBC" w:rsidRDefault="00911690" w:rsidP="00911690">
      <w:pPr>
        <w:pStyle w:val="BodyText"/>
        <w:jc w:val="both"/>
        <w:rPr>
          <w:lang w:val="en-GB"/>
        </w:rPr>
      </w:pPr>
      <w:r w:rsidRPr="00AD7EBC">
        <w:rPr>
          <w:lang w:val="en-GB"/>
        </w:rPr>
        <w:t>The project will ensure that the EE take the different sub-groups and the other disaggregation criteria into consideration when planning the study, therefore collecting data including these categories of beneficiaries</w:t>
      </w:r>
      <w:r w:rsidR="005445A4" w:rsidRPr="00AD7EBC">
        <w:rPr>
          <w:lang w:val="en-GB"/>
        </w:rPr>
        <w:t xml:space="preserve"> (if possible)</w:t>
      </w:r>
      <w:r w:rsidRPr="00AD7EBC">
        <w:rPr>
          <w:lang w:val="en-GB"/>
        </w:rPr>
        <w:t xml:space="preserve"> and </w:t>
      </w:r>
      <w:r w:rsidR="00671B66" w:rsidRPr="00AD7EBC">
        <w:rPr>
          <w:lang w:val="en-GB"/>
        </w:rPr>
        <w:t>analysing</w:t>
      </w:r>
      <w:r w:rsidRPr="00AD7EBC">
        <w:rPr>
          <w:lang w:val="en-GB"/>
        </w:rPr>
        <w:t xml:space="preserve"> the data around them as well. It is difficult for the project to know in advance the proportion of each subgroup and disabilit</w:t>
      </w:r>
      <w:r w:rsidR="005445A4" w:rsidRPr="00AD7EBC">
        <w:rPr>
          <w:lang w:val="en-GB"/>
        </w:rPr>
        <w:t>y level within its target group. T</w:t>
      </w:r>
      <w:r w:rsidRPr="00AD7EBC">
        <w:rPr>
          <w:lang w:val="en-GB"/>
        </w:rPr>
        <w:t>herefore, the project team can only assume that the EE, given enough data collected, will be able to conduct some analysis and comparison at intermediate outcome and outcome level between t</w:t>
      </w:r>
      <w:r w:rsidR="005445A4" w:rsidRPr="00AD7EBC">
        <w:rPr>
          <w:lang w:val="en-GB"/>
        </w:rPr>
        <w:t>he different sub-groups,</w:t>
      </w:r>
      <w:r w:rsidRPr="00AD7EBC">
        <w:rPr>
          <w:lang w:val="en-GB"/>
        </w:rPr>
        <w:t xml:space="preserve"> the different disability levels, </w:t>
      </w:r>
      <w:r w:rsidR="005445A4" w:rsidRPr="00AD7EBC">
        <w:rPr>
          <w:lang w:val="en-GB"/>
        </w:rPr>
        <w:t xml:space="preserve">the geography, the age range, </w:t>
      </w:r>
      <w:r w:rsidRPr="00AD7EBC">
        <w:rPr>
          <w:lang w:val="en-GB"/>
        </w:rPr>
        <w:t>and then rel</w:t>
      </w:r>
      <w:r w:rsidR="005445A4" w:rsidRPr="00AD7EBC">
        <w:rPr>
          <w:lang w:val="en-GB"/>
        </w:rPr>
        <w:t>atively compare between and with the rest of the cohort</w:t>
      </w:r>
      <w:r w:rsidRPr="00AD7EBC">
        <w:rPr>
          <w:lang w:val="en-GB"/>
        </w:rPr>
        <w:t xml:space="preserve">. </w:t>
      </w:r>
    </w:p>
    <w:p w14:paraId="030EAAEC" w14:textId="77777777" w:rsidR="00911690" w:rsidRPr="00AD7EBC" w:rsidRDefault="00911690" w:rsidP="00911690">
      <w:pPr>
        <w:pStyle w:val="BodyText"/>
        <w:jc w:val="both"/>
        <w:rPr>
          <w:lang w:val="en-GB"/>
        </w:rPr>
      </w:pPr>
    </w:p>
    <w:p w14:paraId="64BFD010" w14:textId="5457F58D" w:rsidR="00911690" w:rsidRDefault="00911690" w:rsidP="003802B2">
      <w:pPr>
        <w:widowControl/>
        <w:spacing w:after="160" w:line="259" w:lineRule="auto"/>
        <w:contextualSpacing/>
        <w:jc w:val="both"/>
        <w:rPr>
          <w:lang w:val="en-GB"/>
        </w:rPr>
      </w:pPr>
      <w:r w:rsidRPr="00AD7EBC">
        <w:rPr>
          <w:lang w:val="en-GB"/>
        </w:rPr>
        <w:t xml:space="preserve">Regarding the </w:t>
      </w:r>
      <w:r w:rsidR="003802B2" w:rsidRPr="00AD7EBC">
        <w:rPr>
          <w:lang w:val="en-GB"/>
        </w:rPr>
        <w:t>qualitative study</w:t>
      </w:r>
      <w:r w:rsidRPr="00AD7EBC">
        <w:rPr>
          <w:lang w:val="en-GB"/>
        </w:rPr>
        <w:t xml:space="preserve">, </w:t>
      </w:r>
      <w:r w:rsidR="003802B2" w:rsidRPr="00AD7EBC">
        <w:rPr>
          <w:lang w:val="en-GB"/>
        </w:rPr>
        <w:t>the EE</w:t>
      </w:r>
      <w:r w:rsidRPr="00AD7EBC">
        <w:rPr>
          <w:lang w:val="en-GB"/>
        </w:rPr>
        <w:t xml:space="preserve"> will conduct quali</w:t>
      </w:r>
      <w:r w:rsidR="003802B2" w:rsidRPr="00AD7EBC">
        <w:rPr>
          <w:lang w:val="en-GB"/>
        </w:rPr>
        <w:t>tative enquiry with boys and parents / caregivers</w:t>
      </w:r>
      <w:r w:rsidRPr="00AD7EBC">
        <w:rPr>
          <w:lang w:val="en-GB"/>
        </w:rPr>
        <w:t xml:space="preserve"> exploring their experiences of education, gender norms around education and impacts of girl-only focused project (in addition to qualitative enqui</w:t>
      </w:r>
      <w:r w:rsidR="003802B2" w:rsidRPr="00AD7EBC">
        <w:rPr>
          <w:lang w:val="en-GB"/>
        </w:rPr>
        <w:t>ry with girls</w:t>
      </w:r>
      <w:r w:rsidRPr="00AD7EBC">
        <w:rPr>
          <w:lang w:val="en-GB"/>
        </w:rPr>
        <w:t xml:space="preserve">). </w:t>
      </w:r>
    </w:p>
    <w:p w14:paraId="4D740042" w14:textId="77777777" w:rsidR="00CF1701" w:rsidRPr="00AD7EBC" w:rsidRDefault="00CF1701" w:rsidP="003802B2">
      <w:pPr>
        <w:widowControl/>
        <w:spacing w:after="160" w:line="259" w:lineRule="auto"/>
        <w:contextualSpacing/>
        <w:jc w:val="both"/>
        <w:rPr>
          <w:lang w:val="en-GB"/>
        </w:rPr>
      </w:pPr>
    </w:p>
    <w:p w14:paraId="415DDB70" w14:textId="0809A157" w:rsidR="00911690" w:rsidRPr="00AD7EBC" w:rsidRDefault="003802B2" w:rsidP="003802B2">
      <w:pPr>
        <w:jc w:val="both"/>
        <w:rPr>
          <w:lang w:val="en-GB"/>
        </w:rPr>
      </w:pPr>
      <w:r w:rsidRPr="00AD7EBC">
        <w:rPr>
          <w:lang w:val="en-GB"/>
        </w:rPr>
        <w:t>The project is anticipating that a</w:t>
      </w:r>
      <w:r w:rsidR="00911690" w:rsidRPr="00AD7EBC">
        <w:rPr>
          <w:lang w:val="en-GB"/>
        </w:rPr>
        <w:t xml:space="preserve">ll </w:t>
      </w:r>
      <w:r w:rsidRPr="00AD7EBC">
        <w:rPr>
          <w:lang w:val="en-GB"/>
        </w:rPr>
        <w:t>qualitative analysis will follow</w:t>
      </w:r>
      <w:r w:rsidR="00911690" w:rsidRPr="00AD7EBC">
        <w:rPr>
          <w:lang w:val="en-GB"/>
        </w:rPr>
        <w:t xml:space="preserve"> the use of “thematic analysis”, </w:t>
      </w:r>
      <w:r w:rsidR="00911690" w:rsidRPr="00AD7EBC">
        <w:rPr>
          <w:lang w:val="en-GB"/>
        </w:rPr>
        <w:lastRenderedPageBreak/>
        <w:t>which is the most common form of analysis used in qualitative research. Thematic analysis will involve three steps in particular:</w:t>
      </w:r>
    </w:p>
    <w:p w14:paraId="48B81EB8" w14:textId="042FBB90" w:rsidR="00911690" w:rsidRPr="00AD7EBC" w:rsidRDefault="00911690" w:rsidP="003802B2">
      <w:pPr>
        <w:pStyle w:val="ListParagraph"/>
        <w:widowControl/>
        <w:numPr>
          <w:ilvl w:val="0"/>
          <w:numId w:val="21"/>
        </w:numPr>
        <w:spacing w:after="160" w:line="259" w:lineRule="auto"/>
        <w:contextualSpacing/>
        <w:jc w:val="both"/>
        <w:rPr>
          <w:lang w:val="en-GB"/>
        </w:rPr>
      </w:pPr>
      <w:r w:rsidRPr="00AD7EBC">
        <w:rPr>
          <w:lang w:val="en-GB"/>
        </w:rPr>
        <w:t>Generating</w:t>
      </w:r>
      <w:r w:rsidR="003802B2" w:rsidRPr="00AD7EBC">
        <w:rPr>
          <w:lang w:val="en-GB"/>
        </w:rPr>
        <w:t xml:space="preserve"> theme codes based on (a) REALISE</w:t>
      </w:r>
      <w:r w:rsidRPr="00AD7EBC">
        <w:rPr>
          <w:lang w:val="en-GB"/>
        </w:rPr>
        <w:t>’s Theory of Change, (b) the relevant literature and (c) an initial examination of data</w:t>
      </w:r>
    </w:p>
    <w:p w14:paraId="5A7F5A2D" w14:textId="77777777" w:rsidR="00911690" w:rsidRPr="00AD7EBC" w:rsidRDefault="00911690" w:rsidP="003802B2">
      <w:pPr>
        <w:pStyle w:val="ListParagraph"/>
        <w:widowControl/>
        <w:numPr>
          <w:ilvl w:val="0"/>
          <w:numId w:val="21"/>
        </w:numPr>
        <w:spacing w:after="160" w:line="259" w:lineRule="auto"/>
        <w:contextualSpacing/>
        <w:jc w:val="both"/>
        <w:rPr>
          <w:lang w:val="en-GB"/>
        </w:rPr>
      </w:pPr>
      <w:r w:rsidRPr="00AD7EBC">
        <w:rPr>
          <w:lang w:val="en-GB"/>
        </w:rPr>
        <w:t>Labelling transcribed qualitative data with generated thematic codes</w:t>
      </w:r>
    </w:p>
    <w:p w14:paraId="62B34850" w14:textId="5659B5AF" w:rsidR="00911690" w:rsidRPr="00AD7EBC" w:rsidRDefault="00671B66" w:rsidP="003802B2">
      <w:pPr>
        <w:pStyle w:val="ListParagraph"/>
        <w:widowControl/>
        <w:numPr>
          <w:ilvl w:val="0"/>
          <w:numId w:val="21"/>
        </w:numPr>
        <w:spacing w:after="160" w:line="259" w:lineRule="auto"/>
        <w:contextualSpacing/>
        <w:jc w:val="both"/>
        <w:rPr>
          <w:lang w:val="en-GB"/>
        </w:rPr>
      </w:pPr>
      <w:r w:rsidRPr="00AD7EBC">
        <w:rPr>
          <w:lang w:val="en-GB"/>
        </w:rPr>
        <w:t>Analysing</w:t>
      </w:r>
      <w:r w:rsidR="00911690" w:rsidRPr="00AD7EBC">
        <w:rPr>
          <w:lang w:val="en-GB"/>
        </w:rPr>
        <w:t xml:space="preserve">, compiling, </w:t>
      </w:r>
      <w:r w:rsidR="003802B2" w:rsidRPr="00AD7EBC">
        <w:rPr>
          <w:lang w:val="en-GB"/>
        </w:rPr>
        <w:t xml:space="preserve">triangulating with quantitative data where relevant, </w:t>
      </w:r>
      <w:r w:rsidR="00911690" w:rsidRPr="00AD7EBC">
        <w:rPr>
          <w:lang w:val="en-GB"/>
        </w:rPr>
        <w:t>and writing up analysis based on generated themes</w:t>
      </w:r>
    </w:p>
    <w:p w14:paraId="4C6DD63B" w14:textId="03A1844C" w:rsidR="007C7D0F" w:rsidRDefault="00911690" w:rsidP="00CF1701">
      <w:pPr>
        <w:rPr>
          <w:lang w:val="en-GB"/>
        </w:rPr>
      </w:pPr>
      <w:r w:rsidRPr="00AD7EBC">
        <w:rPr>
          <w:lang w:val="en-GB"/>
        </w:rPr>
        <w:t>Formal sequencing of quantitative and qualitative data collection is NOT p</w:t>
      </w:r>
      <w:r w:rsidR="003802B2" w:rsidRPr="00AD7EBC">
        <w:rPr>
          <w:lang w:val="en-GB"/>
        </w:rPr>
        <w:t>lanned due to time constraints. The project expects that</w:t>
      </w:r>
      <w:r w:rsidRPr="00AD7EBC">
        <w:rPr>
          <w:lang w:val="en-GB"/>
        </w:rPr>
        <w:t>, in field sites, quantitative data collection will commence before the collection of qualitative data. Daily debriefing meetings between enumerators and qualitative researchers will serve to help qualitative researchers stay informed of patterns in the data that must be explained or explored more specif</w:t>
      </w:r>
      <w:r w:rsidR="003802B2" w:rsidRPr="00AD7EBC">
        <w:rPr>
          <w:lang w:val="en-GB"/>
        </w:rPr>
        <w:t>ically during qualitative work.</w:t>
      </w:r>
    </w:p>
    <w:p w14:paraId="665D1C77" w14:textId="77777777" w:rsidR="00CF1701" w:rsidRPr="00CF1701" w:rsidRDefault="00CF1701" w:rsidP="00CF1701"/>
    <w:p w14:paraId="2CC073EB" w14:textId="23D06375" w:rsidR="007C7D0F" w:rsidRPr="00AD7EBC" w:rsidRDefault="00A927BC" w:rsidP="00CF1701">
      <w:pPr>
        <w:pStyle w:val="Heading3"/>
      </w:pPr>
      <w:r>
        <w:t xml:space="preserve">5. 2 </w:t>
      </w:r>
      <w:r w:rsidR="007C7D0F" w:rsidRPr="00AD7EBC">
        <w:t>Measuring outcomes</w:t>
      </w:r>
    </w:p>
    <w:p w14:paraId="5CEE4E66" w14:textId="3AD6A327" w:rsidR="005932B1" w:rsidRPr="00AD7EBC" w:rsidRDefault="005932B1" w:rsidP="00CF1701">
      <w:pPr>
        <w:pStyle w:val="BodyText"/>
        <w:ind w:right="61"/>
        <w:rPr>
          <w:sz w:val="20"/>
          <w:lang w:val="en-GB"/>
        </w:rPr>
      </w:pPr>
    </w:p>
    <w:p w14:paraId="573DE5DC" w14:textId="2FE55D72" w:rsidR="005932B1" w:rsidRPr="00AD7EBC" w:rsidRDefault="005932B1" w:rsidP="00CF1701">
      <w:pPr>
        <w:pStyle w:val="BodyText"/>
        <w:ind w:right="61"/>
        <w:rPr>
          <w:lang w:val="en-GB"/>
        </w:rPr>
      </w:pPr>
      <w:r w:rsidRPr="00AD7EBC">
        <w:rPr>
          <w:lang w:val="en-GB"/>
        </w:rPr>
        <w:t>The External Evaluator, identified through a competitive bidding process, will lead the process of measuring the three (3) project outcomes in Learning, Transition and Sustainability and 4 intermediate outcomes on attendance, quality of teaching, life-skills and economic empowerment. All outcome and intermediate outcome indicators will be measured at baseline, midline and endline phas</w:t>
      </w:r>
      <w:r w:rsidR="00AD7EBC">
        <w:rPr>
          <w:lang w:val="en-GB"/>
        </w:rPr>
        <w:t>es of the project using a mixed-methods approach</w:t>
      </w:r>
      <w:r w:rsidRPr="00AD7EBC">
        <w:rPr>
          <w:lang w:val="en-GB"/>
        </w:rPr>
        <w:t xml:space="preserve"> and using a quasi-experimental study design. A cohort of treatment girls will be tracked over time for the matched treatment and control schools to measure the outcome and intermediate indicators.</w:t>
      </w:r>
    </w:p>
    <w:p w14:paraId="6BFBA622" w14:textId="3021576B" w:rsidR="009E2F4B" w:rsidRPr="00AD7EBC" w:rsidRDefault="009E2F4B" w:rsidP="00CF1701">
      <w:pPr>
        <w:pStyle w:val="BodyText"/>
        <w:ind w:right="61"/>
        <w:rPr>
          <w:i/>
          <w:sz w:val="20"/>
          <w:lang w:val="en-GB"/>
        </w:rPr>
      </w:pPr>
    </w:p>
    <w:p w14:paraId="4B86DE60" w14:textId="4A33C3FA" w:rsidR="009E2F4B" w:rsidRPr="00AD7EBC" w:rsidRDefault="00A927BC" w:rsidP="00A927BC">
      <w:pPr>
        <w:pStyle w:val="Heading3"/>
      </w:pPr>
      <w:r>
        <w:t xml:space="preserve">5.3 </w:t>
      </w:r>
      <w:r w:rsidR="009E2F4B" w:rsidRPr="00AD7EBC">
        <w:t>Learning and transition</w:t>
      </w:r>
    </w:p>
    <w:p w14:paraId="7BD8FEE5" w14:textId="77777777" w:rsidR="007C7D0F" w:rsidRPr="00AD7EBC" w:rsidRDefault="007C7D0F" w:rsidP="00CF1701">
      <w:pPr>
        <w:pStyle w:val="BodyText"/>
        <w:spacing w:before="11"/>
        <w:rPr>
          <w:sz w:val="20"/>
          <w:lang w:val="en-GB"/>
        </w:rPr>
      </w:pPr>
    </w:p>
    <w:p w14:paraId="45152932" w14:textId="165A196E" w:rsidR="006F5D04" w:rsidRDefault="006F5D04" w:rsidP="00CF1701">
      <w:pPr>
        <w:ind w:right="61"/>
        <w:rPr>
          <w:lang w:val="en-GB"/>
        </w:rPr>
      </w:pPr>
      <w:r w:rsidRPr="00AD7EBC">
        <w:rPr>
          <w:b/>
          <w:lang w:val="en-GB"/>
        </w:rPr>
        <w:t>Learning:</w:t>
      </w:r>
      <w:r w:rsidRPr="00AD7EBC">
        <w:rPr>
          <w:lang w:val="en-GB"/>
        </w:rPr>
        <w:t xml:space="preserve"> The project has 2 learning indicators, one for literacy and another for numeracy. Progression in literacy will be measured using the Early Grade Reading Assessment (EGRA) tool for lower grades and extended version Secondary Grade Reading Assessment for upper grades. Numeracy will be measured using the Early Grade Mathematics Assessment (EGMA) tool for lower grades and Secondary Grade Mathematics Assessment (</w:t>
      </w:r>
      <w:proofErr w:type="spellStart"/>
      <w:r w:rsidRPr="00AD7EBC">
        <w:rPr>
          <w:lang w:val="en-GB"/>
        </w:rPr>
        <w:t>SeGMA</w:t>
      </w:r>
      <w:proofErr w:type="spellEnd"/>
      <w:r w:rsidRPr="00AD7EBC">
        <w:rPr>
          <w:lang w:val="en-GB"/>
        </w:rPr>
        <w:t>) tool for upper grades. Calibration and piloting of learning instruments will be done by External Evaluators in collaboration with the Fund Manager.  The calibration process will follow the GEC guidance and provide evidence of ceiling effects, floor effects or lack thereof. Targets for learning have been set at 0.25 standard deviations per year of i</w:t>
      </w:r>
      <w:r w:rsidR="00AD7EBC">
        <w:rPr>
          <w:lang w:val="en-GB"/>
        </w:rPr>
        <w:t>mplementation and will be analys</w:t>
      </w:r>
      <w:r w:rsidRPr="00AD7EBC">
        <w:rPr>
          <w:lang w:val="en-GB"/>
        </w:rPr>
        <w:t xml:space="preserve">ed using the difference-in-difference approach. </w:t>
      </w:r>
    </w:p>
    <w:p w14:paraId="198E427E" w14:textId="4DFBEC84" w:rsidR="00DC709E" w:rsidRDefault="00DC709E" w:rsidP="006F5D04">
      <w:pPr>
        <w:ind w:left="100" w:right="61"/>
        <w:rPr>
          <w:lang w:val="en-GB"/>
        </w:rPr>
      </w:pPr>
    </w:p>
    <w:p w14:paraId="54AD6A14" w14:textId="2309E53D" w:rsidR="00DC709E" w:rsidRPr="00AD7EBC" w:rsidRDefault="00DC709E" w:rsidP="00CF1701">
      <w:pPr>
        <w:ind w:right="61"/>
        <w:rPr>
          <w:lang w:val="en-GB"/>
        </w:rPr>
      </w:pPr>
      <w:r>
        <w:rPr>
          <w:lang w:val="en-GB"/>
        </w:rPr>
        <w:t xml:space="preserve">The project will continue the Vas-y-fille approach to test language. </w:t>
      </w:r>
      <w:r w:rsidRPr="00DC709E">
        <w:rPr>
          <w:lang w:val="en-GB"/>
        </w:rPr>
        <w:t xml:space="preserve">EGRA/EGMA </w:t>
      </w:r>
      <w:r>
        <w:rPr>
          <w:lang w:val="en-GB"/>
        </w:rPr>
        <w:t>instructions</w:t>
      </w:r>
      <w:r w:rsidRPr="00DC709E">
        <w:rPr>
          <w:lang w:val="en-GB"/>
        </w:rPr>
        <w:t xml:space="preserve"> </w:t>
      </w:r>
      <w:r>
        <w:rPr>
          <w:lang w:val="en-GB"/>
        </w:rPr>
        <w:t xml:space="preserve">will be </w:t>
      </w:r>
      <w:r w:rsidRPr="00DC709E">
        <w:rPr>
          <w:lang w:val="en-GB"/>
        </w:rPr>
        <w:t xml:space="preserve">translated in local languages to ensure proper comprehension of what </w:t>
      </w:r>
      <w:r>
        <w:rPr>
          <w:lang w:val="en-GB"/>
        </w:rPr>
        <w:t xml:space="preserve">is </w:t>
      </w:r>
      <w:r w:rsidRPr="00DC709E">
        <w:rPr>
          <w:lang w:val="en-GB"/>
        </w:rPr>
        <w:t xml:space="preserve">expected. For EGMA, answers </w:t>
      </w:r>
      <w:r>
        <w:rPr>
          <w:lang w:val="en-GB"/>
        </w:rPr>
        <w:t xml:space="preserve">can </w:t>
      </w:r>
      <w:r w:rsidRPr="00DC709E">
        <w:rPr>
          <w:lang w:val="en-GB"/>
        </w:rPr>
        <w:t xml:space="preserve">be provided in French or in local languages, while for EGRA, reading </w:t>
      </w:r>
      <w:r>
        <w:rPr>
          <w:lang w:val="en-GB"/>
        </w:rPr>
        <w:t xml:space="preserve">is </w:t>
      </w:r>
      <w:r w:rsidRPr="00DC709E">
        <w:rPr>
          <w:lang w:val="en-GB"/>
        </w:rPr>
        <w:t>expected to be carried out in French.</w:t>
      </w:r>
      <w:r>
        <w:rPr>
          <w:lang w:val="en-GB"/>
        </w:rPr>
        <w:t xml:space="preserve"> </w:t>
      </w:r>
      <w:r w:rsidR="00FD33D1">
        <w:rPr>
          <w:lang w:val="en-GB"/>
        </w:rPr>
        <w:t xml:space="preserve">We are not currently planning additional modifications of the tests for children with disabilities; we will be capturing Washington Group short set questions as part of the tests. </w:t>
      </w:r>
    </w:p>
    <w:p w14:paraId="57DA46F8" w14:textId="77777777" w:rsidR="006F5D04" w:rsidRPr="00AD7EBC" w:rsidRDefault="006F5D04" w:rsidP="006F5D04">
      <w:pPr>
        <w:ind w:left="100" w:right="61"/>
        <w:rPr>
          <w:lang w:val="en-GB"/>
        </w:rPr>
      </w:pPr>
    </w:p>
    <w:p w14:paraId="2929B170" w14:textId="5918CB27" w:rsidR="006F5D04" w:rsidRPr="00AD7EBC" w:rsidRDefault="006F5D04" w:rsidP="00CF1701">
      <w:pPr>
        <w:ind w:right="61"/>
        <w:rPr>
          <w:lang w:val="en-GB"/>
        </w:rPr>
      </w:pPr>
      <w:r w:rsidRPr="00AD7EBC">
        <w:rPr>
          <w:b/>
          <w:lang w:val="en-GB"/>
        </w:rPr>
        <w:t>Transition:</w:t>
      </w:r>
      <w:r w:rsidRPr="00AD7EBC">
        <w:rPr>
          <w:lang w:val="en-GB"/>
        </w:rPr>
        <w:t xml:space="preserve">  The project will measure transition using the ‘cohort survival’ approach, as they move within a level (progress from one grade to the next) or move across levels (e.g. from primary to secondary, AEP, or vocational training).</w:t>
      </w:r>
    </w:p>
    <w:p w14:paraId="27367488" w14:textId="5D4D38BB" w:rsidR="006238FF" w:rsidRPr="00AD7EBC" w:rsidRDefault="006238FF" w:rsidP="006F5D04">
      <w:pPr>
        <w:ind w:left="100" w:right="61"/>
        <w:rPr>
          <w:lang w:val="en-GB"/>
        </w:rPr>
      </w:pPr>
    </w:p>
    <w:p w14:paraId="768640B0" w14:textId="3E3DD090" w:rsidR="006238FF" w:rsidRPr="00AD7EBC" w:rsidRDefault="006238FF" w:rsidP="00CF1701">
      <w:pPr>
        <w:ind w:right="61"/>
        <w:rPr>
          <w:lang w:val="en-GB"/>
        </w:rPr>
      </w:pPr>
      <w:r w:rsidRPr="00AD7EBC">
        <w:rPr>
          <w:lang w:val="en-GB"/>
        </w:rPr>
        <w:t xml:space="preserve">Boys won’t be measured for learning and transition outcomes by the evaluations. </w:t>
      </w:r>
    </w:p>
    <w:p w14:paraId="0B80647E" w14:textId="77777777" w:rsidR="006F5D04" w:rsidRPr="00AD7EBC" w:rsidRDefault="006F5D04" w:rsidP="007C7D0F">
      <w:pPr>
        <w:ind w:left="100" w:right="61"/>
        <w:rPr>
          <w:lang w:val="en-GB"/>
        </w:rPr>
      </w:pPr>
    </w:p>
    <w:p w14:paraId="7D782A95" w14:textId="15B67E17" w:rsidR="00AD7EBC" w:rsidRDefault="00AD7EBC">
      <w:pPr>
        <w:widowControl/>
        <w:spacing w:after="160" w:line="259" w:lineRule="auto"/>
        <w:rPr>
          <w:lang w:val="en-GB"/>
        </w:rPr>
      </w:pPr>
      <w:r>
        <w:rPr>
          <w:lang w:val="en-GB"/>
        </w:rPr>
        <w:br w:type="page"/>
      </w:r>
    </w:p>
    <w:p w14:paraId="150FEEFB" w14:textId="77777777" w:rsidR="00F11A6C" w:rsidRPr="00AD7EBC" w:rsidRDefault="00F11A6C" w:rsidP="00F11A6C">
      <w:pPr>
        <w:ind w:right="61"/>
        <w:rPr>
          <w:lang w:val="en-GB"/>
        </w:rPr>
      </w:pPr>
    </w:p>
    <w:p w14:paraId="4EB79FDC" w14:textId="77777777" w:rsidR="007C7D0F" w:rsidRPr="00AD7EBC" w:rsidRDefault="007C7D0F" w:rsidP="00CF1701">
      <w:pPr>
        <w:ind w:right="61"/>
        <w:outlineLvl w:val="0"/>
        <w:rPr>
          <w:i/>
          <w:lang w:val="en-GB"/>
        </w:rPr>
      </w:pPr>
      <w:r w:rsidRPr="00AD7EBC">
        <w:rPr>
          <w:i/>
          <w:lang w:val="en-GB"/>
        </w:rPr>
        <w:t>Table 2: Outcomes for measurement</w:t>
      </w:r>
    </w:p>
    <w:p w14:paraId="7D94A78E" w14:textId="35FF452A" w:rsidR="00F11A6C" w:rsidRPr="00AD7EBC" w:rsidRDefault="00F11A6C" w:rsidP="007C7D0F">
      <w:pPr>
        <w:ind w:left="100" w:right="61"/>
        <w:rPr>
          <w:lang w:val="en-GB"/>
        </w:rPr>
      </w:pPr>
    </w:p>
    <w:tbl>
      <w:tblPr>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1417"/>
        <w:gridCol w:w="2127"/>
        <w:gridCol w:w="2551"/>
        <w:gridCol w:w="1843"/>
      </w:tblGrid>
      <w:tr w:rsidR="00F11A6C" w:rsidRPr="00CA23A6" w14:paraId="0A7587F2" w14:textId="77777777" w:rsidTr="00671B66">
        <w:trPr>
          <w:trHeight w:hRule="exact" w:val="1850"/>
          <w:tblHeader/>
        </w:trPr>
        <w:tc>
          <w:tcPr>
            <w:tcW w:w="1880" w:type="dxa"/>
            <w:shd w:val="clear" w:color="auto" w:fill="DEEAF6" w:themeFill="accent5" w:themeFillTint="33"/>
          </w:tcPr>
          <w:p w14:paraId="6928D61B" w14:textId="77777777" w:rsidR="00F11A6C" w:rsidRPr="00CA23A6" w:rsidRDefault="00F11A6C" w:rsidP="009B7C2B">
            <w:pPr>
              <w:pStyle w:val="TableParagraph"/>
              <w:spacing w:line="248" w:lineRule="exact"/>
              <w:ind w:right="581"/>
              <w:jc w:val="both"/>
              <w:rPr>
                <w:b/>
                <w:sz w:val="18"/>
                <w:szCs w:val="20"/>
                <w:lang w:val="en-GB"/>
              </w:rPr>
            </w:pPr>
            <w:r w:rsidRPr="00CA23A6">
              <w:rPr>
                <w:b/>
                <w:sz w:val="18"/>
                <w:szCs w:val="20"/>
                <w:lang w:val="en-GB"/>
              </w:rPr>
              <w:t>Outcome</w:t>
            </w:r>
          </w:p>
        </w:tc>
        <w:tc>
          <w:tcPr>
            <w:tcW w:w="1417" w:type="dxa"/>
            <w:shd w:val="clear" w:color="auto" w:fill="DEEAF6" w:themeFill="accent5" w:themeFillTint="33"/>
          </w:tcPr>
          <w:p w14:paraId="5EAACAAF" w14:textId="23E4C285" w:rsidR="00F11A6C" w:rsidRPr="00CA23A6" w:rsidRDefault="00F11A6C" w:rsidP="00F11A6C">
            <w:pPr>
              <w:pStyle w:val="TableParagraph"/>
              <w:spacing w:line="276" w:lineRule="auto"/>
              <w:ind w:right="285"/>
              <w:rPr>
                <w:b/>
                <w:i/>
                <w:sz w:val="18"/>
                <w:szCs w:val="20"/>
                <w:lang w:val="en-GB"/>
              </w:rPr>
            </w:pPr>
            <w:r w:rsidRPr="00CA23A6">
              <w:rPr>
                <w:b/>
                <w:sz w:val="18"/>
                <w:szCs w:val="20"/>
                <w:lang w:val="en-GB"/>
              </w:rPr>
              <w:t>Level at which measurement will take place</w:t>
            </w:r>
          </w:p>
        </w:tc>
        <w:tc>
          <w:tcPr>
            <w:tcW w:w="2127" w:type="dxa"/>
            <w:shd w:val="clear" w:color="auto" w:fill="DEEAF6" w:themeFill="accent5" w:themeFillTint="33"/>
          </w:tcPr>
          <w:p w14:paraId="592E8599" w14:textId="77777777" w:rsidR="00F11A6C" w:rsidRPr="00CA23A6" w:rsidRDefault="00F11A6C" w:rsidP="00F11A6C">
            <w:pPr>
              <w:pStyle w:val="TableParagraph"/>
              <w:spacing w:line="276" w:lineRule="auto"/>
              <w:ind w:right="86"/>
              <w:rPr>
                <w:b/>
                <w:i/>
                <w:sz w:val="18"/>
                <w:szCs w:val="20"/>
                <w:lang w:val="en-GB"/>
              </w:rPr>
            </w:pPr>
            <w:r w:rsidRPr="00CA23A6">
              <w:rPr>
                <w:b/>
                <w:sz w:val="18"/>
                <w:szCs w:val="20"/>
                <w:lang w:val="en-GB"/>
              </w:rPr>
              <w:t xml:space="preserve">Tool and mode of data collection, </w:t>
            </w:r>
            <w:r w:rsidRPr="00CA23A6">
              <w:rPr>
                <w:b/>
                <w:i/>
                <w:sz w:val="18"/>
                <w:szCs w:val="20"/>
                <w:lang w:val="en-GB"/>
              </w:rPr>
              <w:t xml:space="preserve">e.g. HH survey, </w:t>
            </w:r>
            <w:proofErr w:type="gramStart"/>
            <w:r w:rsidRPr="00CA23A6">
              <w:rPr>
                <w:b/>
                <w:i/>
                <w:sz w:val="18"/>
                <w:szCs w:val="20"/>
                <w:lang w:val="en-GB"/>
              </w:rPr>
              <w:t>school based</w:t>
            </w:r>
            <w:proofErr w:type="gramEnd"/>
            <w:r w:rsidRPr="00CA23A6">
              <w:rPr>
                <w:b/>
                <w:i/>
                <w:sz w:val="18"/>
                <w:szCs w:val="20"/>
                <w:lang w:val="en-GB"/>
              </w:rPr>
              <w:t xml:space="preserve"> survey, focus group discussions etc</w:t>
            </w:r>
          </w:p>
        </w:tc>
        <w:tc>
          <w:tcPr>
            <w:tcW w:w="2551" w:type="dxa"/>
            <w:shd w:val="clear" w:color="auto" w:fill="DEEAF6" w:themeFill="accent5" w:themeFillTint="33"/>
          </w:tcPr>
          <w:p w14:paraId="68C8193E" w14:textId="77777777" w:rsidR="00F11A6C" w:rsidRPr="00CA23A6" w:rsidRDefault="00F11A6C" w:rsidP="00F11A6C">
            <w:pPr>
              <w:pStyle w:val="TableParagraph"/>
              <w:spacing w:line="276" w:lineRule="auto"/>
              <w:ind w:right="231"/>
              <w:rPr>
                <w:b/>
                <w:i/>
                <w:sz w:val="18"/>
                <w:szCs w:val="20"/>
                <w:lang w:val="en-GB"/>
              </w:rPr>
            </w:pPr>
            <w:r w:rsidRPr="00CA23A6">
              <w:rPr>
                <w:b/>
                <w:sz w:val="18"/>
                <w:szCs w:val="20"/>
                <w:lang w:val="en-GB"/>
              </w:rPr>
              <w:t xml:space="preserve">Rationale, </w:t>
            </w:r>
            <w:r w:rsidRPr="00CA23A6">
              <w:rPr>
                <w:b/>
                <w:i/>
                <w:sz w:val="18"/>
                <w:szCs w:val="20"/>
                <w:lang w:val="en-GB"/>
              </w:rPr>
              <w:t>i.e. why is this the most appropriate approach for this outcome</w:t>
            </w:r>
          </w:p>
        </w:tc>
        <w:tc>
          <w:tcPr>
            <w:tcW w:w="1843" w:type="dxa"/>
            <w:shd w:val="clear" w:color="auto" w:fill="DEEAF6" w:themeFill="accent5" w:themeFillTint="33"/>
          </w:tcPr>
          <w:p w14:paraId="5F7D577B" w14:textId="77777777" w:rsidR="00F11A6C" w:rsidRPr="00CA23A6" w:rsidRDefault="00F11A6C" w:rsidP="009B7C2B">
            <w:pPr>
              <w:pStyle w:val="TableParagraph"/>
              <w:spacing w:line="276" w:lineRule="auto"/>
              <w:ind w:right="120"/>
              <w:jc w:val="both"/>
              <w:rPr>
                <w:b/>
                <w:sz w:val="18"/>
                <w:szCs w:val="20"/>
                <w:lang w:val="en-GB"/>
              </w:rPr>
            </w:pPr>
            <w:r w:rsidRPr="00CA23A6">
              <w:rPr>
                <w:b/>
                <w:sz w:val="18"/>
                <w:szCs w:val="20"/>
                <w:lang w:val="en-GB"/>
              </w:rPr>
              <w:t>Frequency of data collection,</w:t>
            </w:r>
          </w:p>
          <w:p w14:paraId="66920277" w14:textId="77777777" w:rsidR="00F11A6C" w:rsidRPr="00CA23A6" w:rsidRDefault="00F11A6C" w:rsidP="00F11A6C">
            <w:pPr>
              <w:pStyle w:val="TableParagraph"/>
              <w:spacing w:before="5" w:line="276" w:lineRule="auto"/>
              <w:ind w:right="145"/>
              <w:rPr>
                <w:b/>
                <w:i/>
                <w:sz w:val="18"/>
                <w:szCs w:val="20"/>
                <w:lang w:val="en-GB"/>
              </w:rPr>
            </w:pPr>
            <w:r w:rsidRPr="00CA23A6">
              <w:rPr>
                <w:b/>
                <w:i/>
                <w:sz w:val="18"/>
                <w:szCs w:val="20"/>
                <w:lang w:val="en-GB"/>
              </w:rPr>
              <w:t>i.e. per evaluation point, annually, per term</w:t>
            </w:r>
          </w:p>
        </w:tc>
      </w:tr>
      <w:tr w:rsidR="00F11A6C" w:rsidRPr="00AD7EBC" w14:paraId="3A6A4A08" w14:textId="77777777" w:rsidTr="00F11A6C">
        <w:trPr>
          <w:trHeight w:hRule="exact" w:val="2695"/>
        </w:trPr>
        <w:tc>
          <w:tcPr>
            <w:tcW w:w="1880" w:type="dxa"/>
          </w:tcPr>
          <w:p w14:paraId="59ECF3ED" w14:textId="77777777" w:rsidR="00F11A6C" w:rsidRPr="00AD7EBC" w:rsidRDefault="00F11A6C" w:rsidP="00F11A6C">
            <w:pPr>
              <w:pStyle w:val="TableParagraph"/>
              <w:spacing w:line="251" w:lineRule="exact"/>
              <w:ind w:right="142"/>
              <w:rPr>
                <w:b/>
                <w:sz w:val="20"/>
                <w:szCs w:val="20"/>
                <w:lang w:val="en-GB"/>
              </w:rPr>
            </w:pPr>
            <w:r w:rsidRPr="00AD7EBC">
              <w:rPr>
                <w:b/>
                <w:sz w:val="20"/>
                <w:szCs w:val="20"/>
                <w:lang w:val="en-GB"/>
              </w:rPr>
              <w:t>Outcome 1 - Learning</w:t>
            </w:r>
          </w:p>
          <w:p w14:paraId="7256C0F5" w14:textId="77777777" w:rsidR="00F11A6C" w:rsidRPr="00AD7EBC" w:rsidRDefault="00F11A6C" w:rsidP="00F11A6C">
            <w:pPr>
              <w:pStyle w:val="TableParagraph"/>
              <w:spacing w:line="251" w:lineRule="exact"/>
              <w:ind w:right="142"/>
              <w:rPr>
                <w:sz w:val="20"/>
                <w:szCs w:val="20"/>
                <w:lang w:val="en-GB"/>
              </w:rPr>
            </w:pPr>
            <w:r w:rsidRPr="00AD7EBC">
              <w:rPr>
                <w:b/>
                <w:sz w:val="20"/>
                <w:szCs w:val="20"/>
                <w:lang w:val="en-GB"/>
              </w:rPr>
              <w:t>Literacy:</w:t>
            </w:r>
            <w:r w:rsidRPr="00AD7EBC">
              <w:rPr>
                <w:sz w:val="20"/>
                <w:szCs w:val="20"/>
                <w:lang w:val="en-GB"/>
              </w:rPr>
              <w:t xml:space="preserve"> Number of marginalised girls supported by GEC with improved learning outcomes in literacy</w:t>
            </w:r>
          </w:p>
        </w:tc>
        <w:tc>
          <w:tcPr>
            <w:tcW w:w="1417" w:type="dxa"/>
          </w:tcPr>
          <w:p w14:paraId="05356C7F" w14:textId="77777777" w:rsidR="00F11A6C" w:rsidRPr="00AD7EBC" w:rsidRDefault="00F11A6C" w:rsidP="00F11A6C">
            <w:pPr>
              <w:pStyle w:val="TableParagraph"/>
              <w:spacing w:line="276" w:lineRule="auto"/>
              <w:ind w:right="566"/>
              <w:rPr>
                <w:i/>
                <w:sz w:val="20"/>
                <w:szCs w:val="20"/>
                <w:lang w:val="en-GB"/>
              </w:rPr>
            </w:pPr>
            <w:r w:rsidRPr="00AD7EBC">
              <w:rPr>
                <w:i/>
                <w:sz w:val="20"/>
                <w:szCs w:val="20"/>
                <w:lang w:val="en-GB"/>
              </w:rPr>
              <w:t>School</w:t>
            </w:r>
          </w:p>
          <w:p w14:paraId="6D8FF06B" w14:textId="77777777" w:rsidR="00F11A6C" w:rsidRPr="00AD7EBC" w:rsidRDefault="00F11A6C" w:rsidP="00F11A6C">
            <w:pPr>
              <w:pStyle w:val="TableParagraph"/>
              <w:spacing w:line="276" w:lineRule="auto"/>
              <w:ind w:right="566"/>
              <w:rPr>
                <w:i/>
                <w:sz w:val="20"/>
                <w:szCs w:val="20"/>
                <w:lang w:val="en-GB"/>
              </w:rPr>
            </w:pPr>
            <w:r w:rsidRPr="00AD7EBC">
              <w:rPr>
                <w:sz w:val="20"/>
                <w:szCs w:val="20"/>
                <w:lang w:val="en-GB"/>
              </w:rPr>
              <w:t>Household</w:t>
            </w:r>
          </w:p>
          <w:p w14:paraId="4607201F" w14:textId="77777777" w:rsidR="00F11A6C" w:rsidRPr="00AD7EBC" w:rsidRDefault="00F11A6C" w:rsidP="00F11A6C">
            <w:pPr>
              <w:pStyle w:val="TableParagraph"/>
              <w:spacing w:line="276" w:lineRule="auto"/>
              <w:ind w:right="566"/>
              <w:rPr>
                <w:i/>
                <w:sz w:val="20"/>
                <w:szCs w:val="20"/>
                <w:lang w:val="en-GB"/>
              </w:rPr>
            </w:pPr>
          </w:p>
        </w:tc>
        <w:tc>
          <w:tcPr>
            <w:tcW w:w="2127" w:type="dxa"/>
          </w:tcPr>
          <w:p w14:paraId="1C2B3AE4" w14:textId="77777777" w:rsidR="00F11A6C" w:rsidRPr="00AD7EBC" w:rsidRDefault="00F11A6C" w:rsidP="00F11A6C">
            <w:pPr>
              <w:pStyle w:val="TableParagraph"/>
              <w:spacing w:line="251" w:lineRule="exact"/>
              <w:ind w:right="86"/>
              <w:rPr>
                <w:sz w:val="20"/>
                <w:szCs w:val="20"/>
                <w:lang w:val="en-GB"/>
              </w:rPr>
            </w:pPr>
            <w:r w:rsidRPr="00AD7EBC">
              <w:rPr>
                <w:sz w:val="20"/>
                <w:szCs w:val="20"/>
                <w:lang w:val="en-GB"/>
              </w:rPr>
              <w:t xml:space="preserve">EGRA / </w:t>
            </w:r>
            <w:proofErr w:type="spellStart"/>
            <w:r w:rsidRPr="00AD7EBC">
              <w:rPr>
                <w:sz w:val="20"/>
                <w:szCs w:val="20"/>
                <w:lang w:val="en-GB"/>
              </w:rPr>
              <w:t>SeGRA</w:t>
            </w:r>
            <w:proofErr w:type="spellEnd"/>
          </w:p>
          <w:p w14:paraId="1D19281B" w14:textId="77777777" w:rsidR="00D676E6" w:rsidRPr="00AD7EBC" w:rsidRDefault="00D676E6" w:rsidP="00F11A6C">
            <w:pPr>
              <w:pStyle w:val="TableParagraph"/>
              <w:spacing w:line="251" w:lineRule="exact"/>
              <w:ind w:right="86"/>
              <w:rPr>
                <w:sz w:val="20"/>
                <w:szCs w:val="20"/>
                <w:lang w:val="en-GB"/>
              </w:rPr>
            </w:pPr>
          </w:p>
          <w:p w14:paraId="1A682ACB" w14:textId="62FAC035" w:rsidR="00D676E6" w:rsidRPr="00AD7EBC" w:rsidRDefault="00D676E6" w:rsidP="00F11A6C">
            <w:pPr>
              <w:pStyle w:val="TableParagraph"/>
              <w:spacing w:line="251" w:lineRule="exact"/>
              <w:ind w:right="86"/>
              <w:rPr>
                <w:sz w:val="20"/>
                <w:szCs w:val="20"/>
                <w:lang w:val="en-GB"/>
              </w:rPr>
            </w:pPr>
            <w:r w:rsidRPr="00AD7EBC">
              <w:rPr>
                <w:sz w:val="20"/>
                <w:lang w:val="en-GB"/>
              </w:rPr>
              <w:t>(disaggregated by age, geography, disability, and sub-groups)</w:t>
            </w:r>
          </w:p>
        </w:tc>
        <w:tc>
          <w:tcPr>
            <w:tcW w:w="2551" w:type="dxa"/>
          </w:tcPr>
          <w:p w14:paraId="293E65F2" w14:textId="77777777" w:rsidR="00F11A6C" w:rsidRPr="00AD7EBC" w:rsidRDefault="00F11A6C" w:rsidP="00F11A6C">
            <w:pPr>
              <w:autoSpaceDE w:val="0"/>
              <w:autoSpaceDN w:val="0"/>
              <w:adjustRightInd w:val="0"/>
              <w:ind w:left="142" w:right="142"/>
              <w:rPr>
                <w:sz w:val="20"/>
                <w:szCs w:val="20"/>
                <w:lang w:val="en-GB"/>
              </w:rPr>
            </w:pPr>
            <w:r w:rsidRPr="00AD7EBC">
              <w:rPr>
                <w:sz w:val="20"/>
                <w:szCs w:val="20"/>
                <w:lang w:val="en-GB"/>
              </w:rPr>
              <w:t xml:space="preserve">The EGRA and </w:t>
            </w:r>
            <w:proofErr w:type="spellStart"/>
            <w:r w:rsidRPr="00AD7EBC">
              <w:rPr>
                <w:sz w:val="20"/>
                <w:szCs w:val="20"/>
                <w:lang w:val="en-GB"/>
              </w:rPr>
              <w:t>SeGRA</w:t>
            </w:r>
            <w:proofErr w:type="spellEnd"/>
            <w:r w:rsidRPr="00AD7EBC">
              <w:rPr>
                <w:sz w:val="20"/>
                <w:szCs w:val="20"/>
                <w:lang w:val="en-GB"/>
              </w:rPr>
              <w:t xml:space="preserve"> are standard tools for measuring learning for GEC projects literacy. </w:t>
            </w:r>
          </w:p>
          <w:p w14:paraId="59D9B13B" w14:textId="77777777" w:rsidR="00F11A6C" w:rsidRPr="00AD7EBC" w:rsidRDefault="00F11A6C" w:rsidP="00F11A6C">
            <w:pPr>
              <w:ind w:left="142" w:right="142"/>
              <w:rPr>
                <w:sz w:val="20"/>
                <w:szCs w:val="20"/>
                <w:lang w:val="en-GB"/>
              </w:rPr>
            </w:pPr>
          </w:p>
        </w:tc>
        <w:tc>
          <w:tcPr>
            <w:tcW w:w="1843" w:type="dxa"/>
          </w:tcPr>
          <w:p w14:paraId="0F7106BE" w14:textId="77777777" w:rsidR="00F11A6C" w:rsidRPr="00AD7EBC" w:rsidRDefault="00F11A6C" w:rsidP="00F11A6C">
            <w:pPr>
              <w:ind w:firstLine="141"/>
              <w:rPr>
                <w:sz w:val="20"/>
                <w:szCs w:val="20"/>
                <w:lang w:val="en-GB"/>
              </w:rPr>
            </w:pPr>
            <w:r w:rsidRPr="00AD7EBC">
              <w:rPr>
                <w:sz w:val="20"/>
                <w:szCs w:val="20"/>
                <w:lang w:val="en-GB"/>
              </w:rPr>
              <w:t xml:space="preserve">Baseline, </w:t>
            </w:r>
          </w:p>
          <w:p w14:paraId="7E1C667C" w14:textId="77777777" w:rsidR="00F11A6C" w:rsidRPr="00AD7EBC" w:rsidRDefault="00F11A6C" w:rsidP="00F11A6C">
            <w:pPr>
              <w:ind w:firstLine="141"/>
              <w:rPr>
                <w:sz w:val="20"/>
                <w:szCs w:val="20"/>
                <w:lang w:val="en-GB"/>
              </w:rPr>
            </w:pPr>
            <w:r w:rsidRPr="00AD7EBC">
              <w:rPr>
                <w:sz w:val="20"/>
                <w:szCs w:val="20"/>
                <w:lang w:val="en-GB"/>
              </w:rPr>
              <w:t xml:space="preserve">Midline and </w:t>
            </w:r>
          </w:p>
          <w:p w14:paraId="22949D7B" w14:textId="77777777" w:rsidR="00F11A6C" w:rsidRPr="00AD7EBC" w:rsidRDefault="00F11A6C" w:rsidP="00F11A6C">
            <w:pPr>
              <w:ind w:firstLine="141"/>
              <w:rPr>
                <w:sz w:val="20"/>
                <w:szCs w:val="20"/>
                <w:lang w:val="en-GB"/>
              </w:rPr>
            </w:pPr>
            <w:r w:rsidRPr="00AD7EBC">
              <w:rPr>
                <w:sz w:val="20"/>
                <w:szCs w:val="20"/>
                <w:lang w:val="en-GB"/>
              </w:rPr>
              <w:t>Endline</w:t>
            </w:r>
          </w:p>
        </w:tc>
      </w:tr>
      <w:tr w:rsidR="00F11A6C" w:rsidRPr="00AD7EBC" w14:paraId="1F222856" w14:textId="77777777" w:rsidTr="00F11A6C">
        <w:trPr>
          <w:trHeight w:hRule="exact" w:val="1986"/>
        </w:trPr>
        <w:tc>
          <w:tcPr>
            <w:tcW w:w="1880" w:type="dxa"/>
          </w:tcPr>
          <w:p w14:paraId="1AA6E049" w14:textId="77777777" w:rsidR="00F11A6C" w:rsidRPr="00AD7EBC" w:rsidRDefault="00F11A6C" w:rsidP="00F11A6C">
            <w:pPr>
              <w:pStyle w:val="TableParagraph"/>
              <w:ind w:right="142"/>
              <w:rPr>
                <w:sz w:val="20"/>
                <w:szCs w:val="20"/>
                <w:lang w:val="en-GB"/>
              </w:rPr>
            </w:pPr>
            <w:r w:rsidRPr="00AD7EBC">
              <w:rPr>
                <w:b/>
                <w:sz w:val="20"/>
                <w:szCs w:val="20"/>
                <w:lang w:val="en-GB"/>
              </w:rPr>
              <w:t>Numeracy:</w:t>
            </w:r>
            <w:r w:rsidRPr="00AD7EBC">
              <w:rPr>
                <w:sz w:val="20"/>
                <w:szCs w:val="20"/>
                <w:lang w:val="en-GB"/>
              </w:rPr>
              <w:t xml:space="preserve"> Number of marginalised girls supported by GEC with improved learning outcomes in numeracy </w:t>
            </w:r>
          </w:p>
        </w:tc>
        <w:tc>
          <w:tcPr>
            <w:tcW w:w="1417" w:type="dxa"/>
          </w:tcPr>
          <w:p w14:paraId="0EF72006" w14:textId="77777777" w:rsidR="00F11A6C" w:rsidRPr="00AD7EBC" w:rsidRDefault="00F11A6C" w:rsidP="00F11A6C">
            <w:pPr>
              <w:pStyle w:val="TableParagraph"/>
              <w:spacing w:line="276" w:lineRule="auto"/>
              <w:ind w:right="566"/>
              <w:rPr>
                <w:i/>
                <w:sz w:val="20"/>
                <w:szCs w:val="20"/>
                <w:lang w:val="en-GB"/>
              </w:rPr>
            </w:pPr>
            <w:r w:rsidRPr="00AD7EBC">
              <w:rPr>
                <w:i/>
                <w:sz w:val="20"/>
                <w:szCs w:val="20"/>
                <w:lang w:val="en-GB"/>
              </w:rPr>
              <w:t>School</w:t>
            </w:r>
          </w:p>
          <w:p w14:paraId="39942EF1" w14:textId="77777777" w:rsidR="00F11A6C" w:rsidRPr="00AD7EBC" w:rsidRDefault="00F11A6C" w:rsidP="00F11A6C">
            <w:pPr>
              <w:pStyle w:val="TableParagraph"/>
              <w:spacing w:line="276" w:lineRule="auto"/>
              <w:ind w:right="566"/>
              <w:rPr>
                <w:i/>
                <w:sz w:val="20"/>
                <w:szCs w:val="20"/>
                <w:lang w:val="en-GB"/>
              </w:rPr>
            </w:pPr>
            <w:r w:rsidRPr="00AD7EBC">
              <w:rPr>
                <w:sz w:val="20"/>
                <w:szCs w:val="20"/>
                <w:lang w:val="en-GB"/>
              </w:rPr>
              <w:t>Household</w:t>
            </w:r>
          </w:p>
        </w:tc>
        <w:tc>
          <w:tcPr>
            <w:tcW w:w="2127" w:type="dxa"/>
          </w:tcPr>
          <w:p w14:paraId="5C06ACAC" w14:textId="77777777" w:rsidR="00F11A6C" w:rsidRPr="00AD7EBC" w:rsidRDefault="00F11A6C" w:rsidP="00F11A6C">
            <w:pPr>
              <w:pStyle w:val="TableParagraph"/>
              <w:ind w:right="86"/>
              <w:rPr>
                <w:sz w:val="20"/>
                <w:szCs w:val="20"/>
                <w:lang w:val="en-GB"/>
              </w:rPr>
            </w:pPr>
            <w:r w:rsidRPr="00AD7EBC">
              <w:rPr>
                <w:sz w:val="20"/>
                <w:szCs w:val="20"/>
                <w:lang w:val="en-GB"/>
              </w:rPr>
              <w:t xml:space="preserve">EGMA / </w:t>
            </w:r>
            <w:proofErr w:type="spellStart"/>
            <w:r w:rsidRPr="00AD7EBC">
              <w:rPr>
                <w:sz w:val="20"/>
                <w:szCs w:val="20"/>
                <w:lang w:val="en-GB"/>
              </w:rPr>
              <w:t>SeGMA</w:t>
            </w:r>
            <w:proofErr w:type="spellEnd"/>
          </w:p>
          <w:p w14:paraId="10AEBC39" w14:textId="77777777" w:rsidR="00D676E6" w:rsidRPr="00AD7EBC" w:rsidRDefault="00D676E6" w:rsidP="00F11A6C">
            <w:pPr>
              <w:pStyle w:val="TableParagraph"/>
              <w:ind w:right="86"/>
              <w:rPr>
                <w:sz w:val="20"/>
                <w:szCs w:val="20"/>
                <w:lang w:val="en-GB"/>
              </w:rPr>
            </w:pPr>
          </w:p>
          <w:p w14:paraId="04D9A633" w14:textId="5AEC2E0D" w:rsidR="00D676E6" w:rsidRPr="00AD7EBC" w:rsidRDefault="00D676E6" w:rsidP="00F11A6C">
            <w:pPr>
              <w:pStyle w:val="TableParagraph"/>
              <w:ind w:right="86"/>
              <w:rPr>
                <w:sz w:val="20"/>
                <w:szCs w:val="20"/>
                <w:lang w:val="en-GB"/>
              </w:rPr>
            </w:pPr>
            <w:r w:rsidRPr="00AD7EBC">
              <w:rPr>
                <w:sz w:val="20"/>
                <w:lang w:val="en-GB"/>
              </w:rPr>
              <w:t>(disaggregated by age, geography, disability, and sub-groups)</w:t>
            </w:r>
          </w:p>
        </w:tc>
        <w:tc>
          <w:tcPr>
            <w:tcW w:w="2551" w:type="dxa"/>
          </w:tcPr>
          <w:p w14:paraId="2CC9B36B" w14:textId="77777777" w:rsidR="00F11A6C" w:rsidRPr="00AD7EBC" w:rsidRDefault="00F11A6C" w:rsidP="00F11A6C">
            <w:pPr>
              <w:autoSpaceDE w:val="0"/>
              <w:autoSpaceDN w:val="0"/>
              <w:adjustRightInd w:val="0"/>
              <w:ind w:left="142" w:right="142"/>
              <w:rPr>
                <w:sz w:val="20"/>
                <w:szCs w:val="20"/>
                <w:lang w:val="en-GB"/>
              </w:rPr>
            </w:pPr>
            <w:r w:rsidRPr="00AD7EBC">
              <w:rPr>
                <w:sz w:val="20"/>
                <w:szCs w:val="20"/>
                <w:lang w:val="en-GB"/>
              </w:rPr>
              <w:t xml:space="preserve">The EGMA and </w:t>
            </w:r>
            <w:proofErr w:type="spellStart"/>
            <w:r w:rsidRPr="00AD7EBC">
              <w:rPr>
                <w:sz w:val="20"/>
                <w:szCs w:val="20"/>
                <w:lang w:val="en-GB"/>
              </w:rPr>
              <w:t>SeGMA</w:t>
            </w:r>
            <w:proofErr w:type="spellEnd"/>
            <w:r w:rsidRPr="00AD7EBC">
              <w:rPr>
                <w:sz w:val="20"/>
                <w:szCs w:val="20"/>
                <w:lang w:val="en-GB"/>
              </w:rPr>
              <w:t xml:space="preserve"> are standard tools for measuring learning for GEC projects numeracy. </w:t>
            </w:r>
          </w:p>
          <w:p w14:paraId="50F4CEE3" w14:textId="77777777" w:rsidR="00F11A6C" w:rsidRPr="00AD7EBC" w:rsidRDefault="00F11A6C" w:rsidP="00F11A6C">
            <w:pPr>
              <w:ind w:left="142" w:right="142"/>
              <w:rPr>
                <w:sz w:val="20"/>
                <w:szCs w:val="20"/>
                <w:lang w:val="en-GB"/>
              </w:rPr>
            </w:pPr>
          </w:p>
        </w:tc>
        <w:tc>
          <w:tcPr>
            <w:tcW w:w="1843" w:type="dxa"/>
          </w:tcPr>
          <w:p w14:paraId="5AB1AB16" w14:textId="77777777" w:rsidR="00F11A6C" w:rsidRPr="00AD7EBC" w:rsidRDefault="00F11A6C" w:rsidP="00F11A6C">
            <w:pPr>
              <w:ind w:firstLine="141"/>
              <w:rPr>
                <w:sz w:val="20"/>
                <w:szCs w:val="20"/>
                <w:lang w:val="en-GB"/>
              </w:rPr>
            </w:pPr>
            <w:r w:rsidRPr="00AD7EBC">
              <w:rPr>
                <w:sz w:val="20"/>
                <w:szCs w:val="20"/>
                <w:lang w:val="en-GB"/>
              </w:rPr>
              <w:t xml:space="preserve">Baseline, </w:t>
            </w:r>
          </w:p>
          <w:p w14:paraId="6CFD55EA" w14:textId="77777777" w:rsidR="00F11A6C" w:rsidRPr="00AD7EBC" w:rsidRDefault="00F11A6C" w:rsidP="00F11A6C">
            <w:pPr>
              <w:ind w:firstLine="141"/>
              <w:rPr>
                <w:sz w:val="20"/>
                <w:szCs w:val="20"/>
                <w:lang w:val="en-GB"/>
              </w:rPr>
            </w:pPr>
            <w:r w:rsidRPr="00AD7EBC">
              <w:rPr>
                <w:sz w:val="20"/>
                <w:szCs w:val="20"/>
                <w:lang w:val="en-GB"/>
              </w:rPr>
              <w:t xml:space="preserve">Midline and </w:t>
            </w:r>
          </w:p>
          <w:p w14:paraId="4DD5D390" w14:textId="77777777" w:rsidR="00F11A6C" w:rsidRPr="00AD7EBC" w:rsidRDefault="00F11A6C" w:rsidP="00F11A6C">
            <w:pPr>
              <w:ind w:firstLine="141"/>
              <w:rPr>
                <w:sz w:val="20"/>
                <w:szCs w:val="20"/>
                <w:lang w:val="en-GB"/>
              </w:rPr>
            </w:pPr>
            <w:r w:rsidRPr="00AD7EBC">
              <w:rPr>
                <w:sz w:val="20"/>
                <w:szCs w:val="20"/>
                <w:lang w:val="en-GB"/>
              </w:rPr>
              <w:t>Endline</w:t>
            </w:r>
          </w:p>
        </w:tc>
      </w:tr>
      <w:tr w:rsidR="00F11A6C" w:rsidRPr="00AD7EBC" w14:paraId="6A200A93" w14:textId="77777777" w:rsidTr="00F11A6C">
        <w:trPr>
          <w:trHeight w:hRule="exact" w:val="3560"/>
        </w:trPr>
        <w:tc>
          <w:tcPr>
            <w:tcW w:w="1880" w:type="dxa"/>
          </w:tcPr>
          <w:p w14:paraId="7C7229BB" w14:textId="77777777" w:rsidR="00F11A6C" w:rsidRPr="00AD7EBC" w:rsidRDefault="00F11A6C" w:rsidP="00F11A6C">
            <w:pPr>
              <w:pStyle w:val="TableParagraph"/>
              <w:spacing w:line="251" w:lineRule="exact"/>
              <w:ind w:right="142"/>
              <w:rPr>
                <w:sz w:val="20"/>
                <w:szCs w:val="20"/>
                <w:lang w:val="en-GB"/>
              </w:rPr>
            </w:pPr>
            <w:r w:rsidRPr="00AD7EBC">
              <w:rPr>
                <w:b/>
                <w:sz w:val="20"/>
                <w:szCs w:val="20"/>
                <w:lang w:val="en-GB"/>
              </w:rPr>
              <w:t>Outcome 2 - Transition:</w:t>
            </w:r>
            <w:r w:rsidRPr="00AD7EBC">
              <w:rPr>
                <w:sz w:val="20"/>
                <w:szCs w:val="20"/>
                <w:lang w:val="en-GB"/>
              </w:rPr>
              <w:t xml:space="preserve"> Number of marginalised girls who have transitioned through key stages of education, training or employment (primary to lower secondary)</w:t>
            </w:r>
          </w:p>
        </w:tc>
        <w:tc>
          <w:tcPr>
            <w:tcW w:w="1417" w:type="dxa"/>
          </w:tcPr>
          <w:p w14:paraId="42B7D781" w14:textId="77777777" w:rsidR="00F11A6C" w:rsidRPr="00AD7EBC" w:rsidRDefault="00F11A6C" w:rsidP="00F11A6C">
            <w:pPr>
              <w:pStyle w:val="TableParagraph"/>
              <w:spacing w:line="251" w:lineRule="exact"/>
              <w:ind w:right="285"/>
              <w:rPr>
                <w:sz w:val="20"/>
                <w:szCs w:val="20"/>
                <w:lang w:val="en-GB"/>
              </w:rPr>
            </w:pPr>
            <w:r w:rsidRPr="00AD7EBC">
              <w:rPr>
                <w:sz w:val="20"/>
                <w:szCs w:val="20"/>
                <w:lang w:val="en-GB"/>
              </w:rPr>
              <w:t>Household</w:t>
            </w:r>
          </w:p>
        </w:tc>
        <w:tc>
          <w:tcPr>
            <w:tcW w:w="2127" w:type="dxa"/>
          </w:tcPr>
          <w:p w14:paraId="2E56A1D5" w14:textId="77777777" w:rsidR="00F11A6C" w:rsidRPr="00AD7EBC" w:rsidRDefault="00F11A6C" w:rsidP="00F11A6C">
            <w:pPr>
              <w:pStyle w:val="TableParagraph"/>
              <w:spacing w:line="251" w:lineRule="exact"/>
              <w:ind w:right="86"/>
              <w:rPr>
                <w:sz w:val="20"/>
                <w:szCs w:val="20"/>
                <w:lang w:val="en-GB"/>
              </w:rPr>
            </w:pPr>
            <w:r w:rsidRPr="00AD7EBC">
              <w:rPr>
                <w:sz w:val="20"/>
                <w:szCs w:val="20"/>
                <w:lang w:val="en-GB"/>
              </w:rPr>
              <w:t>Household survey</w:t>
            </w:r>
          </w:p>
          <w:p w14:paraId="25AEF84F" w14:textId="77777777" w:rsidR="00D676E6" w:rsidRPr="00AD7EBC" w:rsidRDefault="00D676E6" w:rsidP="00F11A6C">
            <w:pPr>
              <w:pStyle w:val="TableParagraph"/>
              <w:spacing w:line="251" w:lineRule="exact"/>
              <w:ind w:right="86"/>
              <w:rPr>
                <w:sz w:val="20"/>
                <w:szCs w:val="20"/>
                <w:lang w:val="en-GB"/>
              </w:rPr>
            </w:pPr>
          </w:p>
          <w:p w14:paraId="21D35159" w14:textId="68BF6069" w:rsidR="00D676E6" w:rsidRPr="00AD7EBC" w:rsidRDefault="00D676E6" w:rsidP="00F11A6C">
            <w:pPr>
              <w:pStyle w:val="TableParagraph"/>
              <w:spacing w:line="251" w:lineRule="exact"/>
              <w:ind w:right="86"/>
              <w:rPr>
                <w:sz w:val="20"/>
                <w:szCs w:val="20"/>
                <w:lang w:val="en-GB"/>
              </w:rPr>
            </w:pPr>
            <w:r w:rsidRPr="00AD7EBC">
              <w:rPr>
                <w:sz w:val="20"/>
                <w:lang w:val="en-GB"/>
              </w:rPr>
              <w:t>(disaggregated by age, geography, disability, and sub-groups)</w:t>
            </w:r>
          </w:p>
        </w:tc>
        <w:tc>
          <w:tcPr>
            <w:tcW w:w="2551" w:type="dxa"/>
          </w:tcPr>
          <w:p w14:paraId="42E482DF" w14:textId="77777777" w:rsidR="00F11A6C" w:rsidRPr="00AD7EBC" w:rsidRDefault="00F11A6C" w:rsidP="00F11A6C">
            <w:pPr>
              <w:autoSpaceDE w:val="0"/>
              <w:autoSpaceDN w:val="0"/>
              <w:adjustRightInd w:val="0"/>
              <w:ind w:left="142" w:right="142"/>
              <w:rPr>
                <w:sz w:val="20"/>
                <w:szCs w:val="20"/>
                <w:lang w:val="en-GB"/>
              </w:rPr>
            </w:pPr>
            <w:r w:rsidRPr="00AD7EBC">
              <w:rPr>
                <w:sz w:val="20"/>
                <w:szCs w:val="20"/>
                <w:lang w:val="en-GB"/>
              </w:rPr>
              <w:t xml:space="preserve">This approach uses enrolments rates over time and also assesses successive progression in grades, and movement from one level of education to another as well as to employment. </w:t>
            </w:r>
          </w:p>
          <w:p w14:paraId="537D800C" w14:textId="77777777" w:rsidR="00F11A6C" w:rsidRPr="00AD7EBC" w:rsidRDefault="00F11A6C" w:rsidP="00F11A6C">
            <w:pPr>
              <w:rPr>
                <w:sz w:val="20"/>
                <w:szCs w:val="20"/>
                <w:lang w:val="en-GB"/>
              </w:rPr>
            </w:pPr>
          </w:p>
        </w:tc>
        <w:tc>
          <w:tcPr>
            <w:tcW w:w="1843" w:type="dxa"/>
          </w:tcPr>
          <w:p w14:paraId="10A640CD" w14:textId="77777777" w:rsidR="00F11A6C" w:rsidRPr="00AD7EBC" w:rsidRDefault="00F11A6C" w:rsidP="00F11A6C">
            <w:pPr>
              <w:ind w:left="141"/>
              <w:rPr>
                <w:sz w:val="20"/>
                <w:szCs w:val="20"/>
                <w:lang w:val="en-GB"/>
              </w:rPr>
            </w:pPr>
            <w:r w:rsidRPr="00AD7EBC">
              <w:rPr>
                <w:sz w:val="20"/>
                <w:szCs w:val="20"/>
                <w:lang w:val="en-GB"/>
              </w:rPr>
              <w:t xml:space="preserve">Baseline, </w:t>
            </w:r>
          </w:p>
          <w:p w14:paraId="5510B64A" w14:textId="77777777" w:rsidR="00F11A6C" w:rsidRPr="00AD7EBC" w:rsidRDefault="00F11A6C" w:rsidP="00F11A6C">
            <w:pPr>
              <w:ind w:left="141"/>
              <w:rPr>
                <w:sz w:val="20"/>
                <w:szCs w:val="20"/>
                <w:lang w:val="en-GB"/>
              </w:rPr>
            </w:pPr>
            <w:r w:rsidRPr="00AD7EBC">
              <w:rPr>
                <w:sz w:val="20"/>
                <w:szCs w:val="20"/>
                <w:lang w:val="en-GB"/>
              </w:rPr>
              <w:t xml:space="preserve">Midline and </w:t>
            </w:r>
          </w:p>
          <w:p w14:paraId="7D2E0919" w14:textId="77777777" w:rsidR="00F11A6C" w:rsidRPr="00AD7EBC" w:rsidRDefault="00F11A6C" w:rsidP="00F11A6C">
            <w:pPr>
              <w:ind w:left="141"/>
              <w:rPr>
                <w:sz w:val="20"/>
                <w:szCs w:val="20"/>
                <w:lang w:val="en-GB"/>
              </w:rPr>
            </w:pPr>
            <w:r w:rsidRPr="00AD7EBC">
              <w:rPr>
                <w:sz w:val="20"/>
                <w:szCs w:val="20"/>
                <w:lang w:val="en-GB"/>
              </w:rPr>
              <w:t>Endline</w:t>
            </w:r>
          </w:p>
        </w:tc>
      </w:tr>
      <w:tr w:rsidR="00F11A6C" w:rsidRPr="00AD7EBC" w14:paraId="02E358C6" w14:textId="77777777" w:rsidTr="00F11A6C">
        <w:trPr>
          <w:trHeight w:hRule="exact" w:val="2849"/>
        </w:trPr>
        <w:tc>
          <w:tcPr>
            <w:tcW w:w="1880" w:type="dxa"/>
          </w:tcPr>
          <w:p w14:paraId="6A42AB67" w14:textId="77777777" w:rsidR="00F11A6C" w:rsidRPr="00AD7EBC" w:rsidRDefault="00F11A6C" w:rsidP="00F11A6C">
            <w:pPr>
              <w:pStyle w:val="TableParagraph"/>
              <w:spacing w:line="276" w:lineRule="auto"/>
              <w:ind w:right="32"/>
              <w:rPr>
                <w:b/>
                <w:sz w:val="20"/>
                <w:szCs w:val="20"/>
                <w:lang w:val="en-GB"/>
              </w:rPr>
            </w:pPr>
            <w:r w:rsidRPr="00AD7EBC">
              <w:rPr>
                <w:b/>
                <w:sz w:val="20"/>
                <w:szCs w:val="20"/>
                <w:lang w:val="en-GB"/>
              </w:rPr>
              <w:lastRenderedPageBreak/>
              <w:t>Intermediate outcome 1: attendance</w:t>
            </w:r>
          </w:p>
          <w:p w14:paraId="1AB66DE1" w14:textId="77777777" w:rsidR="00F11A6C" w:rsidRPr="00AD7EBC" w:rsidRDefault="00F11A6C" w:rsidP="00F11A6C">
            <w:pPr>
              <w:pStyle w:val="TableParagraph"/>
              <w:tabs>
                <w:tab w:val="left" w:pos="3024"/>
              </w:tabs>
              <w:spacing w:line="276" w:lineRule="auto"/>
              <w:ind w:right="142"/>
              <w:rPr>
                <w:sz w:val="20"/>
                <w:szCs w:val="20"/>
                <w:lang w:val="en-GB"/>
              </w:rPr>
            </w:pPr>
            <w:r w:rsidRPr="00AD7EBC">
              <w:rPr>
                <w:sz w:val="20"/>
                <w:szCs w:val="20"/>
                <w:lang w:val="en-GB"/>
              </w:rPr>
              <w:t>1.1 Percentage improvement in marginalised girls' attendance rate in intervention schools</w:t>
            </w:r>
          </w:p>
        </w:tc>
        <w:tc>
          <w:tcPr>
            <w:tcW w:w="1417" w:type="dxa"/>
          </w:tcPr>
          <w:p w14:paraId="63A213F2" w14:textId="77777777" w:rsidR="00F11A6C" w:rsidRPr="00AD7EBC" w:rsidRDefault="00F11A6C" w:rsidP="00F11A6C">
            <w:pPr>
              <w:pStyle w:val="TableParagraph"/>
              <w:ind w:right="285"/>
              <w:rPr>
                <w:sz w:val="20"/>
                <w:szCs w:val="20"/>
                <w:lang w:val="en-GB"/>
              </w:rPr>
            </w:pPr>
            <w:r w:rsidRPr="00AD7EBC">
              <w:rPr>
                <w:sz w:val="20"/>
                <w:szCs w:val="20"/>
                <w:lang w:val="en-GB"/>
              </w:rPr>
              <w:t>School</w:t>
            </w:r>
          </w:p>
        </w:tc>
        <w:tc>
          <w:tcPr>
            <w:tcW w:w="2127" w:type="dxa"/>
          </w:tcPr>
          <w:p w14:paraId="30963F64" w14:textId="230E02DC" w:rsidR="00F11A6C" w:rsidRPr="00AD7EBC" w:rsidRDefault="00F11A6C" w:rsidP="00F11A6C">
            <w:pPr>
              <w:pStyle w:val="TableParagraph"/>
              <w:spacing w:line="276" w:lineRule="auto"/>
              <w:ind w:right="465"/>
              <w:rPr>
                <w:sz w:val="20"/>
                <w:szCs w:val="20"/>
                <w:lang w:val="en-GB"/>
              </w:rPr>
            </w:pPr>
            <w:r w:rsidRPr="00AD7EBC">
              <w:rPr>
                <w:sz w:val="20"/>
                <w:szCs w:val="20"/>
                <w:lang w:val="en-GB"/>
              </w:rPr>
              <w:t>School Register</w:t>
            </w:r>
          </w:p>
          <w:p w14:paraId="7C37783F" w14:textId="77777777" w:rsidR="00F11A6C" w:rsidRPr="00AD7EBC" w:rsidRDefault="00F11A6C" w:rsidP="00F11A6C">
            <w:pPr>
              <w:pStyle w:val="TableParagraph"/>
              <w:spacing w:line="276" w:lineRule="auto"/>
              <w:ind w:right="465"/>
              <w:rPr>
                <w:sz w:val="20"/>
                <w:szCs w:val="20"/>
                <w:lang w:val="en-GB"/>
              </w:rPr>
            </w:pPr>
            <w:r w:rsidRPr="00AD7EBC">
              <w:rPr>
                <w:sz w:val="20"/>
                <w:szCs w:val="20"/>
                <w:lang w:val="en-GB"/>
              </w:rPr>
              <w:t>Spot checks</w:t>
            </w:r>
          </w:p>
          <w:p w14:paraId="70136E79" w14:textId="77777777" w:rsidR="00D676E6" w:rsidRPr="00AD7EBC" w:rsidRDefault="00D676E6" w:rsidP="00F11A6C">
            <w:pPr>
              <w:pStyle w:val="TableParagraph"/>
              <w:spacing w:line="276" w:lineRule="auto"/>
              <w:ind w:right="465"/>
              <w:rPr>
                <w:sz w:val="20"/>
                <w:szCs w:val="20"/>
                <w:lang w:val="en-GB"/>
              </w:rPr>
            </w:pPr>
          </w:p>
          <w:p w14:paraId="5AF25418" w14:textId="503FABED" w:rsidR="00D676E6" w:rsidRPr="00AD7EBC" w:rsidRDefault="00D676E6" w:rsidP="00D676E6">
            <w:pPr>
              <w:pStyle w:val="TableParagraph"/>
              <w:spacing w:line="276" w:lineRule="auto"/>
              <w:ind w:right="43"/>
              <w:rPr>
                <w:sz w:val="20"/>
                <w:szCs w:val="20"/>
                <w:lang w:val="en-GB"/>
              </w:rPr>
            </w:pPr>
            <w:r w:rsidRPr="00AD7EBC">
              <w:rPr>
                <w:sz w:val="20"/>
                <w:lang w:val="en-GB"/>
              </w:rPr>
              <w:t>(disaggregated by age, geography, disability, and sub-groups)</w:t>
            </w:r>
          </w:p>
        </w:tc>
        <w:tc>
          <w:tcPr>
            <w:tcW w:w="2551" w:type="dxa"/>
          </w:tcPr>
          <w:p w14:paraId="1D911342" w14:textId="77777777" w:rsidR="00F11A6C" w:rsidRPr="00AD7EBC" w:rsidRDefault="00F11A6C" w:rsidP="00F11A6C">
            <w:pPr>
              <w:ind w:left="142" w:right="142"/>
              <w:rPr>
                <w:sz w:val="20"/>
                <w:szCs w:val="20"/>
                <w:lang w:val="en-GB"/>
              </w:rPr>
            </w:pPr>
            <w:r w:rsidRPr="00AD7EBC">
              <w:rPr>
                <w:sz w:val="20"/>
                <w:szCs w:val="20"/>
                <w:lang w:val="en-GB"/>
              </w:rPr>
              <w:t xml:space="preserve">School attendance is recorded on a daily basis using school attendance registers. Triangulation will be done though spot checks and household level information.   </w:t>
            </w:r>
          </w:p>
        </w:tc>
        <w:tc>
          <w:tcPr>
            <w:tcW w:w="1843" w:type="dxa"/>
          </w:tcPr>
          <w:p w14:paraId="619C8C16" w14:textId="77777777" w:rsidR="00F11A6C" w:rsidRPr="00AD7EBC" w:rsidRDefault="00F11A6C" w:rsidP="00F11A6C">
            <w:pPr>
              <w:ind w:left="141"/>
              <w:rPr>
                <w:sz w:val="20"/>
                <w:szCs w:val="20"/>
                <w:lang w:val="en-GB"/>
              </w:rPr>
            </w:pPr>
            <w:r w:rsidRPr="00AD7EBC">
              <w:rPr>
                <w:sz w:val="20"/>
                <w:szCs w:val="20"/>
                <w:lang w:val="en-GB"/>
              </w:rPr>
              <w:t xml:space="preserve">Baseline, </w:t>
            </w:r>
          </w:p>
          <w:p w14:paraId="4DB72246" w14:textId="77777777" w:rsidR="00F11A6C" w:rsidRPr="00AD7EBC" w:rsidRDefault="00F11A6C" w:rsidP="00F11A6C">
            <w:pPr>
              <w:ind w:left="141"/>
              <w:rPr>
                <w:sz w:val="20"/>
                <w:szCs w:val="20"/>
                <w:lang w:val="en-GB"/>
              </w:rPr>
            </w:pPr>
            <w:r w:rsidRPr="00AD7EBC">
              <w:rPr>
                <w:sz w:val="20"/>
                <w:szCs w:val="20"/>
                <w:lang w:val="en-GB"/>
              </w:rPr>
              <w:t xml:space="preserve">Midline and </w:t>
            </w:r>
          </w:p>
          <w:p w14:paraId="05AAC20E" w14:textId="77777777" w:rsidR="00F11A6C" w:rsidRPr="00AD7EBC" w:rsidRDefault="00F11A6C" w:rsidP="00F11A6C">
            <w:pPr>
              <w:ind w:left="141"/>
              <w:rPr>
                <w:sz w:val="20"/>
                <w:szCs w:val="20"/>
                <w:lang w:val="en-GB"/>
              </w:rPr>
            </w:pPr>
            <w:r w:rsidRPr="00AD7EBC">
              <w:rPr>
                <w:sz w:val="20"/>
                <w:szCs w:val="20"/>
                <w:lang w:val="en-GB"/>
              </w:rPr>
              <w:t>Endline</w:t>
            </w:r>
          </w:p>
        </w:tc>
      </w:tr>
      <w:tr w:rsidR="00F11A6C" w:rsidRPr="00AD7EBC" w14:paraId="3753A74D" w14:textId="77777777" w:rsidTr="00D676E6">
        <w:trPr>
          <w:trHeight w:hRule="exact" w:val="2268"/>
        </w:trPr>
        <w:tc>
          <w:tcPr>
            <w:tcW w:w="1880" w:type="dxa"/>
          </w:tcPr>
          <w:p w14:paraId="66D1548E" w14:textId="77777777" w:rsidR="00F11A6C" w:rsidRPr="00AD7EBC" w:rsidRDefault="00F11A6C" w:rsidP="00F11A6C">
            <w:pPr>
              <w:pStyle w:val="TableParagraph"/>
              <w:spacing w:line="276" w:lineRule="auto"/>
              <w:ind w:right="581"/>
              <w:jc w:val="both"/>
              <w:rPr>
                <w:sz w:val="20"/>
                <w:szCs w:val="20"/>
                <w:lang w:val="en-GB"/>
              </w:rPr>
            </w:pPr>
            <w:proofErr w:type="gramStart"/>
            <w:r w:rsidRPr="00AD7EBC">
              <w:rPr>
                <w:b/>
                <w:sz w:val="20"/>
                <w:szCs w:val="20"/>
                <w:lang w:val="en-GB"/>
              </w:rPr>
              <w:t xml:space="preserve">1.2  </w:t>
            </w:r>
            <w:r w:rsidRPr="00AD7EBC">
              <w:rPr>
                <w:sz w:val="20"/>
                <w:szCs w:val="20"/>
                <w:lang w:val="en-GB"/>
              </w:rPr>
              <w:t>Average</w:t>
            </w:r>
            <w:proofErr w:type="gramEnd"/>
            <w:r w:rsidRPr="00AD7EBC">
              <w:rPr>
                <w:sz w:val="20"/>
                <w:szCs w:val="20"/>
                <w:lang w:val="en-GB"/>
              </w:rPr>
              <w:t xml:space="preserve"> attendance rate in project AEP centres</w:t>
            </w:r>
          </w:p>
          <w:p w14:paraId="07A5C760" w14:textId="77777777" w:rsidR="00F11A6C" w:rsidRPr="00AD7EBC" w:rsidRDefault="00F11A6C" w:rsidP="00F11A6C">
            <w:pPr>
              <w:pStyle w:val="TableParagraph"/>
              <w:spacing w:line="276" w:lineRule="auto"/>
              <w:ind w:left="0" w:right="581"/>
              <w:jc w:val="both"/>
              <w:rPr>
                <w:b/>
                <w:sz w:val="20"/>
                <w:szCs w:val="20"/>
                <w:lang w:val="en-GB"/>
              </w:rPr>
            </w:pPr>
          </w:p>
        </w:tc>
        <w:tc>
          <w:tcPr>
            <w:tcW w:w="1417" w:type="dxa"/>
          </w:tcPr>
          <w:p w14:paraId="7DDE54AF" w14:textId="77777777" w:rsidR="00F11A6C" w:rsidRPr="00AD7EBC" w:rsidRDefault="00F11A6C" w:rsidP="00F11A6C">
            <w:pPr>
              <w:pStyle w:val="TableParagraph"/>
              <w:ind w:right="285"/>
              <w:jc w:val="both"/>
              <w:rPr>
                <w:sz w:val="20"/>
                <w:szCs w:val="20"/>
                <w:lang w:val="en-GB"/>
              </w:rPr>
            </w:pPr>
            <w:r w:rsidRPr="00AD7EBC">
              <w:rPr>
                <w:sz w:val="20"/>
                <w:szCs w:val="20"/>
                <w:lang w:val="en-GB"/>
              </w:rPr>
              <w:t>AEP Centre</w:t>
            </w:r>
          </w:p>
        </w:tc>
        <w:tc>
          <w:tcPr>
            <w:tcW w:w="2127" w:type="dxa"/>
          </w:tcPr>
          <w:p w14:paraId="4B535E39" w14:textId="77777777" w:rsidR="00F11A6C" w:rsidRPr="00AD7EBC" w:rsidRDefault="00F11A6C" w:rsidP="00D676E6">
            <w:pPr>
              <w:pStyle w:val="TableParagraph"/>
              <w:spacing w:line="276" w:lineRule="auto"/>
              <w:ind w:right="465"/>
              <w:rPr>
                <w:sz w:val="20"/>
                <w:szCs w:val="20"/>
                <w:lang w:val="en-GB"/>
              </w:rPr>
            </w:pPr>
            <w:r w:rsidRPr="00AD7EBC">
              <w:rPr>
                <w:sz w:val="20"/>
                <w:szCs w:val="20"/>
                <w:lang w:val="en-GB"/>
              </w:rPr>
              <w:t xml:space="preserve">AEP Centre </w:t>
            </w:r>
            <w:r w:rsidR="00D676E6" w:rsidRPr="00AD7EBC">
              <w:rPr>
                <w:sz w:val="20"/>
                <w:szCs w:val="20"/>
                <w:lang w:val="en-GB"/>
              </w:rPr>
              <w:t>R</w:t>
            </w:r>
            <w:r w:rsidRPr="00AD7EBC">
              <w:rPr>
                <w:sz w:val="20"/>
                <w:szCs w:val="20"/>
                <w:lang w:val="en-GB"/>
              </w:rPr>
              <w:t>egister</w:t>
            </w:r>
          </w:p>
          <w:p w14:paraId="31B9D491" w14:textId="77777777" w:rsidR="00D676E6" w:rsidRPr="00AD7EBC" w:rsidRDefault="00D676E6" w:rsidP="00D676E6">
            <w:pPr>
              <w:pStyle w:val="TableParagraph"/>
              <w:spacing w:line="276" w:lineRule="auto"/>
              <w:ind w:right="465"/>
              <w:rPr>
                <w:sz w:val="20"/>
                <w:szCs w:val="20"/>
                <w:lang w:val="en-GB"/>
              </w:rPr>
            </w:pPr>
          </w:p>
          <w:p w14:paraId="5563C139" w14:textId="5D2430E8" w:rsidR="00D676E6" w:rsidRPr="00AD7EBC" w:rsidRDefault="00D676E6" w:rsidP="00D676E6">
            <w:pPr>
              <w:pStyle w:val="TableParagraph"/>
              <w:spacing w:line="276" w:lineRule="auto"/>
              <w:ind w:right="185"/>
              <w:rPr>
                <w:sz w:val="20"/>
                <w:szCs w:val="20"/>
                <w:lang w:val="en-GB"/>
              </w:rPr>
            </w:pPr>
            <w:r w:rsidRPr="00AD7EBC">
              <w:rPr>
                <w:sz w:val="20"/>
                <w:lang w:val="en-GB"/>
              </w:rPr>
              <w:t>(disaggregated by age, geography, disability, and sub-groups)</w:t>
            </w:r>
          </w:p>
        </w:tc>
        <w:tc>
          <w:tcPr>
            <w:tcW w:w="2551" w:type="dxa"/>
          </w:tcPr>
          <w:p w14:paraId="6EF88717" w14:textId="54E95785" w:rsidR="00F11A6C" w:rsidRPr="00AD7EBC" w:rsidRDefault="00F11A6C" w:rsidP="00F11A6C">
            <w:pPr>
              <w:ind w:left="142" w:right="142"/>
              <w:rPr>
                <w:sz w:val="20"/>
                <w:szCs w:val="20"/>
                <w:lang w:val="en-GB"/>
              </w:rPr>
            </w:pPr>
            <w:r w:rsidRPr="00AD7EBC">
              <w:rPr>
                <w:sz w:val="20"/>
                <w:szCs w:val="20"/>
                <w:lang w:val="en-GB"/>
              </w:rPr>
              <w:t xml:space="preserve">AEP </w:t>
            </w:r>
            <w:r w:rsidR="00AD7EBC" w:rsidRPr="00AD7EBC">
              <w:rPr>
                <w:sz w:val="20"/>
                <w:szCs w:val="20"/>
                <w:lang w:val="en-GB"/>
              </w:rPr>
              <w:t>centres</w:t>
            </w:r>
            <w:r w:rsidRPr="00AD7EBC">
              <w:rPr>
                <w:sz w:val="20"/>
                <w:szCs w:val="20"/>
                <w:lang w:val="en-GB"/>
              </w:rPr>
              <w:t xml:space="preserve"> will also mark attendance for girls every day and the registers will be the primary source of information.</w:t>
            </w:r>
          </w:p>
        </w:tc>
        <w:tc>
          <w:tcPr>
            <w:tcW w:w="1843" w:type="dxa"/>
          </w:tcPr>
          <w:p w14:paraId="4F635FF6" w14:textId="77777777" w:rsidR="00F11A6C" w:rsidRPr="00AD7EBC" w:rsidRDefault="00F11A6C" w:rsidP="00F11A6C">
            <w:pPr>
              <w:ind w:left="141"/>
              <w:jc w:val="both"/>
              <w:rPr>
                <w:sz w:val="20"/>
                <w:szCs w:val="20"/>
                <w:lang w:val="en-GB"/>
              </w:rPr>
            </w:pPr>
            <w:r w:rsidRPr="00AD7EBC">
              <w:rPr>
                <w:sz w:val="20"/>
                <w:szCs w:val="20"/>
                <w:lang w:val="en-GB"/>
              </w:rPr>
              <w:t xml:space="preserve">Baseline, </w:t>
            </w:r>
          </w:p>
          <w:p w14:paraId="32653BB5" w14:textId="77777777" w:rsidR="00F11A6C" w:rsidRPr="00AD7EBC" w:rsidRDefault="00F11A6C" w:rsidP="00F11A6C">
            <w:pPr>
              <w:ind w:left="141"/>
              <w:jc w:val="both"/>
              <w:rPr>
                <w:sz w:val="20"/>
                <w:szCs w:val="20"/>
                <w:lang w:val="en-GB"/>
              </w:rPr>
            </w:pPr>
            <w:r w:rsidRPr="00AD7EBC">
              <w:rPr>
                <w:sz w:val="20"/>
                <w:szCs w:val="20"/>
                <w:lang w:val="en-GB"/>
              </w:rPr>
              <w:t xml:space="preserve">Midline and </w:t>
            </w:r>
          </w:p>
          <w:p w14:paraId="70B05256" w14:textId="77777777" w:rsidR="00F11A6C" w:rsidRPr="00AD7EBC" w:rsidRDefault="00F11A6C" w:rsidP="00F11A6C">
            <w:pPr>
              <w:ind w:left="141"/>
              <w:jc w:val="both"/>
              <w:rPr>
                <w:sz w:val="20"/>
                <w:szCs w:val="20"/>
                <w:lang w:val="en-GB"/>
              </w:rPr>
            </w:pPr>
            <w:r w:rsidRPr="00AD7EBC">
              <w:rPr>
                <w:sz w:val="20"/>
                <w:szCs w:val="20"/>
                <w:lang w:val="en-GB"/>
              </w:rPr>
              <w:t>Endline</w:t>
            </w:r>
          </w:p>
        </w:tc>
      </w:tr>
      <w:tr w:rsidR="00F11A6C" w:rsidRPr="00AD7EBC" w14:paraId="60D224EA" w14:textId="77777777" w:rsidTr="00F11A6C">
        <w:trPr>
          <w:trHeight w:hRule="exact" w:val="1992"/>
        </w:trPr>
        <w:tc>
          <w:tcPr>
            <w:tcW w:w="1880" w:type="dxa"/>
          </w:tcPr>
          <w:p w14:paraId="1F460AC5" w14:textId="77777777" w:rsidR="00F11A6C" w:rsidRPr="00AD7EBC" w:rsidRDefault="00F11A6C" w:rsidP="00F11A6C">
            <w:pPr>
              <w:pStyle w:val="TableParagraph"/>
              <w:spacing w:line="276" w:lineRule="auto"/>
              <w:ind w:right="284"/>
              <w:rPr>
                <w:b/>
                <w:sz w:val="20"/>
                <w:szCs w:val="20"/>
                <w:lang w:val="en-GB"/>
              </w:rPr>
            </w:pPr>
            <w:r w:rsidRPr="00AD7EBC">
              <w:rPr>
                <w:b/>
                <w:sz w:val="20"/>
                <w:szCs w:val="20"/>
                <w:lang w:val="en-GB"/>
              </w:rPr>
              <w:t xml:space="preserve">1.3 </w:t>
            </w:r>
            <w:r w:rsidRPr="00AD7EBC">
              <w:rPr>
                <w:sz w:val="20"/>
                <w:szCs w:val="20"/>
                <w:lang w:val="en-GB"/>
              </w:rPr>
              <w:t>Girls' views on the strength of barriers that may prevent girls' ability to attend school regularly</w:t>
            </w:r>
          </w:p>
        </w:tc>
        <w:tc>
          <w:tcPr>
            <w:tcW w:w="1417" w:type="dxa"/>
          </w:tcPr>
          <w:p w14:paraId="5D17DA37" w14:textId="77777777" w:rsidR="00F11A6C" w:rsidRPr="00AD7EBC" w:rsidRDefault="00F11A6C" w:rsidP="00F11A6C">
            <w:pPr>
              <w:pStyle w:val="TableParagraph"/>
              <w:ind w:right="285"/>
              <w:rPr>
                <w:sz w:val="20"/>
                <w:szCs w:val="20"/>
                <w:lang w:val="en-GB"/>
              </w:rPr>
            </w:pPr>
            <w:r w:rsidRPr="00AD7EBC">
              <w:rPr>
                <w:sz w:val="20"/>
                <w:szCs w:val="20"/>
                <w:lang w:val="en-GB"/>
              </w:rPr>
              <w:t>Community</w:t>
            </w:r>
          </w:p>
        </w:tc>
        <w:tc>
          <w:tcPr>
            <w:tcW w:w="2127" w:type="dxa"/>
          </w:tcPr>
          <w:p w14:paraId="00E0EE25" w14:textId="166DA802" w:rsidR="00D676E6" w:rsidRPr="00AD7EBC" w:rsidRDefault="00D676E6" w:rsidP="00F11A6C">
            <w:pPr>
              <w:pStyle w:val="TableParagraph"/>
              <w:spacing w:line="276" w:lineRule="auto"/>
              <w:ind w:right="465"/>
              <w:rPr>
                <w:sz w:val="20"/>
                <w:lang w:val="en-GB"/>
              </w:rPr>
            </w:pPr>
            <w:r w:rsidRPr="00AD7EBC">
              <w:rPr>
                <w:sz w:val="20"/>
                <w:lang w:val="en-GB"/>
              </w:rPr>
              <w:t>Girls’ survey</w:t>
            </w:r>
          </w:p>
          <w:p w14:paraId="07D317F1" w14:textId="77777777" w:rsidR="00D676E6" w:rsidRPr="00AD7EBC" w:rsidRDefault="00D676E6" w:rsidP="00F11A6C">
            <w:pPr>
              <w:pStyle w:val="TableParagraph"/>
              <w:spacing w:line="276" w:lineRule="auto"/>
              <w:ind w:right="465"/>
              <w:rPr>
                <w:sz w:val="20"/>
                <w:lang w:val="en-GB"/>
              </w:rPr>
            </w:pPr>
          </w:p>
          <w:p w14:paraId="771B6816" w14:textId="338E9B19" w:rsidR="00F11A6C" w:rsidRPr="00AD7EBC" w:rsidRDefault="00D676E6" w:rsidP="00F11A6C">
            <w:pPr>
              <w:pStyle w:val="TableParagraph"/>
              <w:spacing w:line="276" w:lineRule="auto"/>
              <w:ind w:right="465"/>
              <w:rPr>
                <w:sz w:val="20"/>
                <w:szCs w:val="20"/>
                <w:lang w:val="en-GB"/>
              </w:rPr>
            </w:pPr>
            <w:r w:rsidRPr="00AD7EBC">
              <w:rPr>
                <w:sz w:val="20"/>
                <w:lang w:val="en-GB"/>
              </w:rPr>
              <w:t>(disaggregated by age, geography, disability, and sub-groups)</w:t>
            </w:r>
          </w:p>
        </w:tc>
        <w:tc>
          <w:tcPr>
            <w:tcW w:w="2551" w:type="dxa"/>
          </w:tcPr>
          <w:p w14:paraId="71751AB6" w14:textId="77777777" w:rsidR="00F11A6C" w:rsidRPr="00AD7EBC" w:rsidRDefault="00F11A6C" w:rsidP="00F11A6C">
            <w:pPr>
              <w:ind w:left="141" w:right="142"/>
              <w:rPr>
                <w:sz w:val="20"/>
                <w:szCs w:val="20"/>
                <w:lang w:val="en-GB"/>
              </w:rPr>
            </w:pPr>
            <w:r w:rsidRPr="00AD7EBC">
              <w:rPr>
                <w:sz w:val="20"/>
                <w:szCs w:val="20"/>
                <w:lang w:val="en-GB"/>
              </w:rPr>
              <w:t xml:space="preserve">Focus Group Discussions with girls are the best approach to solicit for views and perceptions about school attendance and barriers. </w:t>
            </w:r>
          </w:p>
        </w:tc>
        <w:tc>
          <w:tcPr>
            <w:tcW w:w="1843" w:type="dxa"/>
          </w:tcPr>
          <w:p w14:paraId="348EA8BC" w14:textId="77777777" w:rsidR="00F11A6C" w:rsidRPr="00AD7EBC" w:rsidRDefault="00F11A6C" w:rsidP="00F11A6C">
            <w:pPr>
              <w:ind w:left="141"/>
              <w:rPr>
                <w:sz w:val="20"/>
                <w:szCs w:val="20"/>
                <w:lang w:val="en-GB"/>
              </w:rPr>
            </w:pPr>
            <w:r w:rsidRPr="00AD7EBC">
              <w:rPr>
                <w:sz w:val="20"/>
                <w:szCs w:val="20"/>
                <w:lang w:val="en-GB"/>
              </w:rPr>
              <w:t xml:space="preserve">Baseline, </w:t>
            </w:r>
          </w:p>
          <w:p w14:paraId="5FEC0E6F" w14:textId="77777777" w:rsidR="00F11A6C" w:rsidRPr="00AD7EBC" w:rsidRDefault="00F11A6C" w:rsidP="00F11A6C">
            <w:pPr>
              <w:ind w:left="141"/>
              <w:rPr>
                <w:sz w:val="20"/>
                <w:szCs w:val="20"/>
                <w:lang w:val="en-GB"/>
              </w:rPr>
            </w:pPr>
            <w:r w:rsidRPr="00AD7EBC">
              <w:rPr>
                <w:sz w:val="20"/>
                <w:szCs w:val="20"/>
                <w:lang w:val="en-GB"/>
              </w:rPr>
              <w:t xml:space="preserve">Midline and </w:t>
            </w:r>
          </w:p>
          <w:p w14:paraId="7DF2A5DE" w14:textId="77777777" w:rsidR="00F11A6C" w:rsidRPr="00AD7EBC" w:rsidRDefault="00F11A6C" w:rsidP="00F11A6C">
            <w:pPr>
              <w:ind w:left="141"/>
              <w:rPr>
                <w:sz w:val="20"/>
                <w:szCs w:val="20"/>
                <w:lang w:val="en-GB"/>
              </w:rPr>
            </w:pPr>
            <w:r w:rsidRPr="00AD7EBC">
              <w:rPr>
                <w:sz w:val="20"/>
                <w:szCs w:val="20"/>
                <w:lang w:val="en-GB"/>
              </w:rPr>
              <w:t>Endline</w:t>
            </w:r>
          </w:p>
        </w:tc>
      </w:tr>
      <w:tr w:rsidR="00F11A6C" w:rsidRPr="00AD7EBC" w14:paraId="013698F5" w14:textId="77777777" w:rsidTr="00F11A6C">
        <w:trPr>
          <w:trHeight w:hRule="exact" w:val="4247"/>
        </w:trPr>
        <w:tc>
          <w:tcPr>
            <w:tcW w:w="1880" w:type="dxa"/>
          </w:tcPr>
          <w:p w14:paraId="78DF1B2B" w14:textId="77777777" w:rsidR="00F11A6C" w:rsidRPr="00AD7EBC" w:rsidRDefault="00F11A6C" w:rsidP="00F11A6C">
            <w:pPr>
              <w:pStyle w:val="TableParagraph"/>
              <w:spacing w:line="278" w:lineRule="auto"/>
              <w:rPr>
                <w:b/>
                <w:sz w:val="20"/>
                <w:szCs w:val="20"/>
                <w:lang w:val="en-GB"/>
              </w:rPr>
            </w:pPr>
            <w:r w:rsidRPr="00AD7EBC">
              <w:rPr>
                <w:b/>
                <w:sz w:val="20"/>
                <w:szCs w:val="20"/>
                <w:lang w:val="en-GB"/>
              </w:rPr>
              <w:lastRenderedPageBreak/>
              <w:t>Intermediate outcome 2: Quality of teaching</w:t>
            </w:r>
          </w:p>
          <w:p w14:paraId="22222B9F" w14:textId="77777777" w:rsidR="00F11A6C" w:rsidRPr="00AD7EBC" w:rsidRDefault="00F11A6C" w:rsidP="00F11A6C">
            <w:pPr>
              <w:pStyle w:val="TableParagraph"/>
              <w:spacing w:line="278" w:lineRule="auto"/>
              <w:rPr>
                <w:sz w:val="20"/>
                <w:szCs w:val="20"/>
                <w:lang w:val="en-GB"/>
              </w:rPr>
            </w:pPr>
            <w:r w:rsidRPr="00AD7EBC">
              <w:rPr>
                <w:sz w:val="20"/>
                <w:szCs w:val="20"/>
                <w:lang w:val="en-GB"/>
              </w:rPr>
              <w:t xml:space="preserve"> 2.1 Proportion of teachers who demonstrate improvement against four or more competencies within the national teacher competency framework. </w:t>
            </w:r>
          </w:p>
          <w:p w14:paraId="13F034ED" w14:textId="77777777" w:rsidR="00F11A6C" w:rsidRPr="00AD7EBC" w:rsidRDefault="00F11A6C" w:rsidP="00F11A6C">
            <w:pPr>
              <w:pStyle w:val="TableParagraph"/>
              <w:spacing w:line="278" w:lineRule="auto"/>
              <w:rPr>
                <w:sz w:val="20"/>
                <w:szCs w:val="20"/>
                <w:lang w:val="en-GB"/>
              </w:rPr>
            </w:pPr>
          </w:p>
        </w:tc>
        <w:tc>
          <w:tcPr>
            <w:tcW w:w="1417" w:type="dxa"/>
          </w:tcPr>
          <w:p w14:paraId="012B2A7D" w14:textId="77777777" w:rsidR="00F11A6C" w:rsidRPr="00AD7EBC" w:rsidRDefault="00F11A6C" w:rsidP="00F11A6C">
            <w:pPr>
              <w:ind w:firstLine="142"/>
              <w:rPr>
                <w:sz w:val="20"/>
                <w:szCs w:val="20"/>
                <w:lang w:val="en-GB"/>
              </w:rPr>
            </w:pPr>
            <w:r w:rsidRPr="00AD7EBC">
              <w:rPr>
                <w:sz w:val="20"/>
                <w:szCs w:val="20"/>
                <w:lang w:val="en-GB"/>
              </w:rPr>
              <w:t xml:space="preserve">School </w:t>
            </w:r>
          </w:p>
        </w:tc>
        <w:tc>
          <w:tcPr>
            <w:tcW w:w="2127" w:type="dxa"/>
          </w:tcPr>
          <w:p w14:paraId="4C30ADE4" w14:textId="73EDF5E2" w:rsidR="00025EA2" w:rsidRPr="00AD7EBC" w:rsidRDefault="00025EA2" w:rsidP="00025EA2">
            <w:pPr>
              <w:rPr>
                <w:sz w:val="20"/>
                <w:szCs w:val="20"/>
                <w:lang w:val="en-GB"/>
              </w:rPr>
            </w:pPr>
            <w:r>
              <w:rPr>
                <w:sz w:val="20"/>
                <w:szCs w:val="20"/>
                <w:lang w:val="en-GB"/>
              </w:rPr>
              <w:t>Validation of Teacher Competency Profile through teacher interview, coach interview</w:t>
            </w:r>
            <w:r w:rsidR="002D0308">
              <w:rPr>
                <w:sz w:val="20"/>
                <w:szCs w:val="20"/>
                <w:lang w:val="en-GB"/>
              </w:rPr>
              <w:t>, student interview</w:t>
            </w:r>
            <w:r>
              <w:rPr>
                <w:sz w:val="20"/>
                <w:szCs w:val="20"/>
                <w:lang w:val="en-GB"/>
              </w:rPr>
              <w:t xml:space="preserve"> and teacher observation</w:t>
            </w:r>
          </w:p>
          <w:p w14:paraId="18682893" w14:textId="77777777" w:rsidR="00BF4286" w:rsidRPr="00AD7EBC" w:rsidRDefault="00BF4286" w:rsidP="00F11A6C">
            <w:pPr>
              <w:ind w:firstLine="142"/>
              <w:rPr>
                <w:sz w:val="20"/>
                <w:szCs w:val="20"/>
                <w:lang w:val="en-GB"/>
              </w:rPr>
            </w:pPr>
          </w:p>
          <w:p w14:paraId="7009AE56" w14:textId="50E20583" w:rsidR="00BF4286" w:rsidRPr="00AD7EBC" w:rsidRDefault="00BF4286" w:rsidP="00025EA2">
            <w:pPr>
              <w:rPr>
                <w:sz w:val="20"/>
                <w:szCs w:val="20"/>
                <w:lang w:val="en-GB"/>
              </w:rPr>
            </w:pPr>
            <w:r w:rsidRPr="00AD7EBC">
              <w:rPr>
                <w:sz w:val="20"/>
                <w:szCs w:val="20"/>
                <w:lang w:val="en-GB"/>
              </w:rPr>
              <w:t>(disaggregated by sex)</w:t>
            </w:r>
          </w:p>
        </w:tc>
        <w:tc>
          <w:tcPr>
            <w:tcW w:w="2551" w:type="dxa"/>
          </w:tcPr>
          <w:p w14:paraId="1C8055F6" w14:textId="5D457A5E" w:rsidR="00F11A6C" w:rsidRDefault="003E646C" w:rsidP="003E646C">
            <w:pPr>
              <w:ind w:left="142" w:right="142"/>
              <w:rPr>
                <w:sz w:val="20"/>
                <w:szCs w:val="20"/>
                <w:lang w:val="en-GB"/>
              </w:rPr>
            </w:pPr>
            <w:r>
              <w:rPr>
                <w:sz w:val="20"/>
                <w:szCs w:val="20"/>
                <w:lang w:val="en-GB"/>
              </w:rPr>
              <w:t>We will ask the EE to validate the assessment of coaches and teachers themselves</w:t>
            </w:r>
            <w:r w:rsidR="003075EA">
              <w:rPr>
                <w:sz w:val="20"/>
                <w:szCs w:val="20"/>
                <w:lang w:val="en-GB"/>
              </w:rPr>
              <w:t xml:space="preserve"> (the ‘Teacher Competency Profile’)</w:t>
            </w:r>
            <w:r>
              <w:rPr>
                <w:sz w:val="20"/>
                <w:szCs w:val="20"/>
                <w:lang w:val="en-GB"/>
              </w:rPr>
              <w:t xml:space="preserve"> using interviews to triangulate a snapshot lesson observation</w:t>
            </w:r>
            <w:r w:rsidR="00BD4C5A">
              <w:rPr>
                <w:sz w:val="20"/>
                <w:szCs w:val="20"/>
                <w:lang w:val="en-GB"/>
              </w:rPr>
              <w:t xml:space="preserve"> and student interview</w:t>
            </w:r>
            <w:r>
              <w:rPr>
                <w:sz w:val="20"/>
                <w:szCs w:val="20"/>
                <w:lang w:val="en-GB"/>
              </w:rPr>
              <w:t xml:space="preserve">. </w:t>
            </w:r>
          </w:p>
          <w:p w14:paraId="6584B570" w14:textId="77777777" w:rsidR="003075EA" w:rsidRDefault="003075EA" w:rsidP="003E646C">
            <w:pPr>
              <w:ind w:left="142" w:right="142"/>
              <w:rPr>
                <w:sz w:val="20"/>
                <w:szCs w:val="20"/>
                <w:lang w:val="en-GB"/>
              </w:rPr>
            </w:pPr>
          </w:p>
          <w:p w14:paraId="6A41054E" w14:textId="2F3163E8" w:rsidR="003075EA" w:rsidRPr="00AD7EBC" w:rsidRDefault="003075EA" w:rsidP="003E646C">
            <w:pPr>
              <w:ind w:left="142" w:right="142"/>
              <w:rPr>
                <w:sz w:val="20"/>
                <w:szCs w:val="20"/>
                <w:lang w:val="en-GB"/>
              </w:rPr>
            </w:pPr>
            <w:r>
              <w:rPr>
                <w:sz w:val="20"/>
                <w:szCs w:val="20"/>
                <w:lang w:val="en-GB"/>
              </w:rPr>
              <w:t>Lesson observations alone are often poor measures of teacher competence - observations in English schools were found to be accurate only about 60% of the time</w:t>
            </w:r>
            <w:r>
              <w:rPr>
                <w:rStyle w:val="FootnoteReference"/>
                <w:sz w:val="20"/>
                <w:szCs w:val="20"/>
                <w:lang w:val="en-GB"/>
              </w:rPr>
              <w:footnoteReference w:id="7"/>
            </w:r>
            <w:r>
              <w:rPr>
                <w:sz w:val="20"/>
                <w:szCs w:val="20"/>
                <w:lang w:val="en-GB"/>
              </w:rPr>
              <w:t>.</w:t>
            </w:r>
          </w:p>
        </w:tc>
        <w:tc>
          <w:tcPr>
            <w:tcW w:w="1843" w:type="dxa"/>
          </w:tcPr>
          <w:p w14:paraId="5B757DB7" w14:textId="77777777" w:rsidR="00F11A6C" w:rsidRPr="00AD7EBC" w:rsidRDefault="00F11A6C" w:rsidP="00F11A6C">
            <w:pPr>
              <w:ind w:left="141"/>
              <w:rPr>
                <w:sz w:val="20"/>
                <w:szCs w:val="20"/>
                <w:lang w:val="en-GB"/>
              </w:rPr>
            </w:pPr>
            <w:r w:rsidRPr="00AD7EBC">
              <w:rPr>
                <w:sz w:val="20"/>
                <w:szCs w:val="20"/>
                <w:lang w:val="en-GB"/>
              </w:rPr>
              <w:t xml:space="preserve">Baseline, </w:t>
            </w:r>
          </w:p>
          <w:p w14:paraId="4564C366" w14:textId="77777777" w:rsidR="00F11A6C" w:rsidRPr="00AD7EBC" w:rsidRDefault="00F11A6C" w:rsidP="00F11A6C">
            <w:pPr>
              <w:ind w:left="141"/>
              <w:rPr>
                <w:sz w:val="20"/>
                <w:szCs w:val="20"/>
                <w:lang w:val="en-GB"/>
              </w:rPr>
            </w:pPr>
            <w:r w:rsidRPr="00AD7EBC">
              <w:rPr>
                <w:sz w:val="20"/>
                <w:szCs w:val="20"/>
                <w:lang w:val="en-GB"/>
              </w:rPr>
              <w:t xml:space="preserve">Midline and </w:t>
            </w:r>
          </w:p>
          <w:p w14:paraId="45A90BCD" w14:textId="77777777" w:rsidR="00F11A6C" w:rsidRPr="00AD7EBC" w:rsidRDefault="00F11A6C" w:rsidP="00F11A6C">
            <w:pPr>
              <w:ind w:left="141"/>
              <w:rPr>
                <w:sz w:val="20"/>
                <w:szCs w:val="20"/>
                <w:lang w:val="en-GB"/>
              </w:rPr>
            </w:pPr>
            <w:r w:rsidRPr="00AD7EBC">
              <w:rPr>
                <w:sz w:val="20"/>
                <w:szCs w:val="20"/>
                <w:lang w:val="en-GB"/>
              </w:rPr>
              <w:t>Endline</w:t>
            </w:r>
          </w:p>
        </w:tc>
      </w:tr>
      <w:tr w:rsidR="00F11A6C" w:rsidRPr="00AD7EBC" w14:paraId="126CC0F1" w14:textId="77777777" w:rsidTr="0030345F">
        <w:trPr>
          <w:trHeight w:hRule="exact" w:val="2266"/>
        </w:trPr>
        <w:tc>
          <w:tcPr>
            <w:tcW w:w="1880" w:type="dxa"/>
          </w:tcPr>
          <w:p w14:paraId="2696AE8C" w14:textId="77777777" w:rsidR="00F11A6C" w:rsidRPr="00AD7EBC" w:rsidRDefault="00F11A6C" w:rsidP="00F11A6C">
            <w:pPr>
              <w:pStyle w:val="TableParagraph"/>
              <w:spacing w:line="278" w:lineRule="auto"/>
              <w:rPr>
                <w:b/>
                <w:sz w:val="20"/>
                <w:szCs w:val="20"/>
                <w:lang w:val="en-GB"/>
              </w:rPr>
            </w:pPr>
            <w:r w:rsidRPr="00AD7EBC">
              <w:rPr>
                <w:sz w:val="20"/>
                <w:szCs w:val="20"/>
                <w:lang w:val="en-GB"/>
              </w:rPr>
              <w:t>2.2 # of teachers demonstrating skills in teaching children with specific needs</w:t>
            </w:r>
          </w:p>
        </w:tc>
        <w:tc>
          <w:tcPr>
            <w:tcW w:w="1417" w:type="dxa"/>
          </w:tcPr>
          <w:p w14:paraId="7DB2E588" w14:textId="77777777" w:rsidR="00F11A6C" w:rsidRPr="00AD7EBC" w:rsidRDefault="00F11A6C" w:rsidP="00F11A6C">
            <w:pPr>
              <w:ind w:left="142"/>
              <w:rPr>
                <w:sz w:val="20"/>
                <w:szCs w:val="20"/>
                <w:lang w:val="en-GB"/>
              </w:rPr>
            </w:pPr>
            <w:r w:rsidRPr="00AD7EBC">
              <w:rPr>
                <w:sz w:val="20"/>
                <w:szCs w:val="20"/>
                <w:lang w:val="en-GB"/>
              </w:rPr>
              <w:t>School</w:t>
            </w:r>
          </w:p>
        </w:tc>
        <w:tc>
          <w:tcPr>
            <w:tcW w:w="2127" w:type="dxa"/>
          </w:tcPr>
          <w:p w14:paraId="531C9258" w14:textId="5169FA26" w:rsidR="00BF4286" w:rsidRPr="00AD7EBC" w:rsidRDefault="00B46E19" w:rsidP="0009749F">
            <w:pPr>
              <w:rPr>
                <w:sz w:val="20"/>
                <w:szCs w:val="20"/>
                <w:lang w:val="en-GB"/>
              </w:rPr>
            </w:pPr>
            <w:r>
              <w:rPr>
                <w:sz w:val="20"/>
                <w:szCs w:val="20"/>
                <w:lang w:val="en-GB"/>
              </w:rPr>
              <w:t>As above</w:t>
            </w:r>
          </w:p>
        </w:tc>
        <w:tc>
          <w:tcPr>
            <w:tcW w:w="2551" w:type="dxa"/>
          </w:tcPr>
          <w:p w14:paraId="0A272CD6" w14:textId="4D6072A6" w:rsidR="00F11A6C" w:rsidRPr="00AD7EBC" w:rsidRDefault="002D0308" w:rsidP="00F11A6C">
            <w:pPr>
              <w:ind w:left="141" w:right="142"/>
              <w:rPr>
                <w:sz w:val="20"/>
                <w:szCs w:val="20"/>
                <w:lang w:val="en-GB"/>
              </w:rPr>
            </w:pPr>
            <w:r>
              <w:rPr>
                <w:sz w:val="20"/>
                <w:szCs w:val="20"/>
                <w:lang w:val="en-GB"/>
              </w:rPr>
              <w:t xml:space="preserve">As above. </w:t>
            </w:r>
            <w:r w:rsidR="0009749F">
              <w:rPr>
                <w:sz w:val="20"/>
                <w:szCs w:val="20"/>
                <w:lang w:val="en-GB"/>
              </w:rPr>
              <w:t>The Teacher Competency Profile will include</w:t>
            </w:r>
            <w:r w:rsidR="00E7638C">
              <w:rPr>
                <w:sz w:val="20"/>
                <w:szCs w:val="20"/>
                <w:lang w:val="en-GB"/>
              </w:rPr>
              <w:t xml:space="preserve"> competencies relating to</w:t>
            </w:r>
            <w:r w:rsidR="0009749F">
              <w:rPr>
                <w:sz w:val="20"/>
                <w:szCs w:val="20"/>
                <w:lang w:val="en-GB"/>
              </w:rPr>
              <w:t xml:space="preserve"> different special needs. </w:t>
            </w:r>
          </w:p>
        </w:tc>
        <w:tc>
          <w:tcPr>
            <w:tcW w:w="1843" w:type="dxa"/>
          </w:tcPr>
          <w:p w14:paraId="1BEFD2AE" w14:textId="77777777" w:rsidR="00F11A6C" w:rsidRPr="00AD7EBC" w:rsidRDefault="00F11A6C" w:rsidP="00F11A6C">
            <w:pPr>
              <w:ind w:left="141"/>
              <w:rPr>
                <w:sz w:val="20"/>
                <w:szCs w:val="20"/>
                <w:lang w:val="en-GB"/>
              </w:rPr>
            </w:pPr>
            <w:r w:rsidRPr="00AD7EBC">
              <w:rPr>
                <w:sz w:val="20"/>
                <w:szCs w:val="20"/>
                <w:lang w:val="en-GB"/>
              </w:rPr>
              <w:t xml:space="preserve">Baseline, </w:t>
            </w:r>
          </w:p>
          <w:p w14:paraId="5A7214E2" w14:textId="77777777" w:rsidR="00F11A6C" w:rsidRPr="00AD7EBC" w:rsidRDefault="00F11A6C" w:rsidP="00F11A6C">
            <w:pPr>
              <w:ind w:left="141"/>
              <w:rPr>
                <w:sz w:val="20"/>
                <w:szCs w:val="20"/>
                <w:lang w:val="en-GB"/>
              </w:rPr>
            </w:pPr>
            <w:r w:rsidRPr="00AD7EBC">
              <w:rPr>
                <w:sz w:val="20"/>
                <w:szCs w:val="20"/>
                <w:lang w:val="en-GB"/>
              </w:rPr>
              <w:t xml:space="preserve">Midline and </w:t>
            </w:r>
          </w:p>
          <w:p w14:paraId="6597FA5D" w14:textId="77777777" w:rsidR="00F11A6C" w:rsidRPr="00AD7EBC" w:rsidRDefault="00F11A6C" w:rsidP="00F11A6C">
            <w:pPr>
              <w:ind w:left="141"/>
              <w:rPr>
                <w:sz w:val="20"/>
                <w:szCs w:val="20"/>
                <w:lang w:val="en-GB"/>
              </w:rPr>
            </w:pPr>
            <w:r w:rsidRPr="00AD7EBC">
              <w:rPr>
                <w:sz w:val="20"/>
                <w:szCs w:val="20"/>
                <w:lang w:val="en-GB"/>
              </w:rPr>
              <w:t>Endline</w:t>
            </w:r>
          </w:p>
        </w:tc>
      </w:tr>
      <w:tr w:rsidR="00F11A6C" w:rsidRPr="00AD7EBC" w14:paraId="4F64EE47" w14:textId="77777777" w:rsidTr="00E12828">
        <w:trPr>
          <w:trHeight w:hRule="exact" w:val="2000"/>
        </w:trPr>
        <w:tc>
          <w:tcPr>
            <w:tcW w:w="1880" w:type="dxa"/>
          </w:tcPr>
          <w:p w14:paraId="71329A64" w14:textId="77777777" w:rsidR="00F11A6C" w:rsidRPr="00AD7EBC" w:rsidRDefault="00F11A6C" w:rsidP="00F11A6C">
            <w:pPr>
              <w:pStyle w:val="TableParagraph"/>
              <w:spacing w:line="278" w:lineRule="auto"/>
              <w:rPr>
                <w:sz w:val="20"/>
                <w:szCs w:val="20"/>
                <w:lang w:val="en-GB"/>
              </w:rPr>
            </w:pPr>
            <w:r w:rsidRPr="00AD7EBC">
              <w:rPr>
                <w:sz w:val="20"/>
                <w:szCs w:val="20"/>
                <w:lang w:val="en-GB"/>
              </w:rPr>
              <w:t>2.3 Girls' perception towards their teacher's teaching methods and ability</w:t>
            </w:r>
          </w:p>
        </w:tc>
        <w:tc>
          <w:tcPr>
            <w:tcW w:w="1417" w:type="dxa"/>
          </w:tcPr>
          <w:p w14:paraId="3D59DB0D" w14:textId="77777777" w:rsidR="00F11A6C" w:rsidRPr="00AD7EBC" w:rsidRDefault="00F11A6C" w:rsidP="00F11A6C">
            <w:pPr>
              <w:ind w:firstLine="142"/>
              <w:rPr>
                <w:sz w:val="20"/>
                <w:szCs w:val="20"/>
                <w:lang w:val="en-GB"/>
              </w:rPr>
            </w:pPr>
            <w:r w:rsidRPr="00AD7EBC">
              <w:rPr>
                <w:sz w:val="20"/>
                <w:szCs w:val="20"/>
                <w:lang w:val="en-GB"/>
              </w:rPr>
              <w:t>School</w:t>
            </w:r>
          </w:p>
        </w:tc>
        <w:tc>
          <w:tcPr>
            <w:tcW w:w="2127" w:type="dxa"/>
          </w:tcPr>
          <w:p w14:paraId="3395E1C4" w14:textId="38216634" w:rsidR="00F11A6C" w:rsidRPr="00AD7EBC" w:rsidRDefault="003075EA" w:rsidP="00BF4286">
            <w:pPr>
              <w:ind w:left="102"/>
              <w:rPr>
                <w:sz w:val="20"/>
                <w:szCs w:val="20"/>
                <w:lang w:val="en-GB"/>
              </w:rPr>
            </w:pPr>
            <w:r>
              <w:rPr>
                <w:sz w:val="20"/>
                <w:szCs w:val="20"/>
                <w:lang w:val="en-GB"/>
              </w:rPr>
              <w:t>Student interview</w:t>
            </w:r>
            <w:r w:rsidR="00B46E19">
              <w:rPr>
                <w:sz w:val="20"/>
                <w:szCs w:val="20"/>
                <w:lang w:val="en-GB"/>
              </w:rPr>
              <w:t xml:space="preserve"> (as part of the battery described above)</w:t>
            </w:r>
          </w:p>
          <w:p w14:paraId="13458B9D" w14:textId="77777777" w:rsidR="00BF4286" w:rsidRPr="00AD7EBC" w:rsidRDefault="00BF4286" w:rsidP="00BF4286">
            <w:pPr>
              <w:ind w:left="102"/>
              <w:rPr>
                <w:sz w:val="20"/>
                <w:szCs w:val="20"/>
                <w:lang w:val="en-GB"/>
              </w:rPr>
            </w:pPr>
          </w:p>
          <w:p w14:paraId="3B354AC7" w14:textId="2C5075B0" w:rsidR="00BF4286" w:rsidRPr="00AD7EBC" w:rsidRDefault="00BF4286" w:rsidP="00BF4286">
            <w:pPr>
              <w:ind w:left="102"/>
              <w:rPr>
                <w:sz w:val="20"/>
                <w:szCs w:val="20"/>
                <w:lang w:val="en-GB"/>
              </w:rPr>
            </w:pPr>
            <w:r w:rsidRPr="00AD7EBC">
              <w:rPr>
                <w:sz w:val="20"/>
                <w:lang w:val="en-GB"/>
              </w:rPr>
              <w:t>(disaggregated by age, geography, disability, and sub-groups)</w:t>
            </w:r>
          </w:p>
        </w:tc>
        <w:tc>
          <w:tcPr>
            <w:tcW w:w="2551" w:type="dxa"/>
          </w:tcPr>
          <w:p w14:paraId="068291F5" w14:textId="77777777" w:rsidR="00F11A6C" w:rsidRPr="00AD7EBC" w:rsidRDefault="00F11A6C" w:rsidP="00F11A6C">
            <w:pPr>
              <w:ind w:left="141" w:right="142"/>
              <w:rPr>
                <w:sz w:val="20"/>
                <w:szCs w:val="20"/>
                <w:lang w:val="en-GB"/>
              </w:rPr>
            </w:pPr>
            <w:r w:rsidRPr="00AD7EBC">
              <w:rPr>
                <w:sz w:val="20"/>
                <w:szCs w:val="20"/>
                <w:lang w:val="en-GB"/>
              </w:rPr>
              <w:t>This indicator will provide information on whether girls are enjoying learning and like methods applied by teachers to improve learning.</w:t>
            </w:r>
          </w:p>
        </w:tc>
        <w:tc>
          <w:tcPr>
            <w:tcW w:w="1843" w:type="dxa"/>
          </w:tcPr>
          <w:p w14:paraId="5A26196D" w14:textId="77777777" w:rsidR="00F11A6C" w:rsidRPr="00AD7EBC" w:rsidRDefault="00F11A6C" w:rsidP="00F11A6C">
            <w:pPr>
              <w:ind w:left="141"/>
              <w:rPr>
                <w:sz w:val="20"/>
                <w:szCs w:val="20"/>
                <w:lang w:val="en-GB"/>
              </w:rPr>
            </w:pPr>
            <w:r w:rsidRPr="00AD7EBC">
              <w:rPr>
                <w:sz w:val="20"/>
                <w:szCs w:val="20"/>
                <w:lang w:val="en-GB"/>
              </w:rPr>
              <w:t xml:space="preserve">Baseline, </w:t>
            </w:r>
          </w:p>
          <w:p w14:paraId="02AA57FF" w14:textId="77777777" w:rsidR="00F11A6C" w:rsidRPr="00AD7EBC" w:rsidRDefault="00F11A6C" w:rsidP="00F11A6C">
            <w:pPr>
              <w:ind w:left="141"/>
              <w:rPr>
                <w:sz w:val="20"/>
                <w:szCs w:val="20"/>
                <w:lang w:val="en-GB"/>
              </w:rPr>
            </w:pPr>
            <w:r w:rsidRPr="00AD7EBC">
              <w:rPr>
                <w:sz w:val="20"/>
                <w:szCs w:val="20"/>
                <w:lang w:val="en-GB"/>
              </w:rPr>
              <w:t xml:space="preserve">Midline and </w:t>
            </w:r>
          </w:p>
          <w:p w14:paraId="5BFE8C9B" w14:textId="77777777" w:rsidR="00F11A6C" w:rsidRPr="00AD7EBC" w:rsidRDefault="00F11A6C" w:rsidP="00F11A6C">
            <w:pPr>
              <w:ind w:left="141"/>
              <w:rPr>
                <w:sz w:val="20"/>
                <w:szCs w:val="20"/>
                <w:lang w:val="en-GB"/>
              </w:rPr>
            </w:pPr>
            <w:r w:rsidRPr="00AD7EBC">
              <w:rPr>
                <w:sz w:val="20"/>
                <w:szCs w:val="20"/>
                <w:lang w:val="en-GB"/>
              </w:rPr>
              <w:t>Endline</w:t>
            </w:r>
          </w:p>
        </w:tc>
      </w:tr>
      <w:tr w:rsidR="00F11A6C" w:rsidRPr="00AD7EBC" w14:paraId="7535CDE2" w14:textId="77777777" w:rsidTr="0030345F">
        <w:trPr>
          <w:trHeight w:hRule="exact" w:val="2277"/>
        </w:trPr>
        <w:tc>
          <w:tcPr>
            <w:tcW w:w="1880" w:type="dxa"/>
          </w:tcPr>
          <w:p w14:paraId="6E15EDB6" w14:textId="77777777" w:rsidR="00F11A6C" w:rsidRPr="00AD7EBC" w:rsidRDefault="00F11A6C" w:rsidP="0030345F">
            <w:pPr>
              <w:pStyle w:val="TableParagraph"/>
              <w:spacing w:line="276" w:lineRule="auto"/>
              <w:ind w:right="32"/>
              <w:rPr>
                <w:b/>
                <w:sz w:val="20"/>
                <w:szCs w:val="20"/>
                <w:lang w:val="en-GB"/>
              </w:rPr>
            </w:pPr>
            <w:r w:rsidRPr="00AD7EBC">
              <w:rPr>
                <w:b/>
                <w:sz w:val="20"/>
                <w:szCs w:val="20"/>
                <w:lang w:val="en-GB"/>
              </w:rPr>
              <w:lastRenderedPageBreak/>
              <w:t>Intermediate outcome 3: Life skills</w:t>
            </w:r>
          </w:p>
          <w:p w14:paraId="5A4D49BD" w14:textId="77777777" w:rsidR="00F11A6C" w:rsidRPr="00AD7EBC" w:rsidRDefault="00F11A6C" w:rsidP="0030345F">
            <w:pPr>
              <w:pStyle w:val="TableParagraph"/>
              <w:spacing w:line="276" w:lineRule="auto"/>
              <w:ind w:right="32"/>
              <w:rPr>
                <w:sz w:val="20"/>
                <w:szCs w:val="20"/>
                <w:lang w:val="en-GB"/>
              </w:rPr>
            </w:pPr>
            <w:r w:rsidRPr="00AD7EBC">
              <w:rPr>
                <w:sz w:val="20"/>
                <w:szCs w:val="20"/>
                <w:lang w:val="en-GB"/>
              </w:rPr>
              <w:t>3.1 # children actively participating in SRH clubs</w:t>
            </w:r>
          </w:p>
          <w:p w14:paraId="6212C3C8" w14:textId="77777777" w:rsidR="00F11A6C" w:rsidRPr="00AD7EBC" w:rsidRDefault="00F11A6C" w:rsidP="0030345F">
            <w:pPr>
              <w:pStyle w:val="TableParagraph"/>
              <w:spacing w:line="276" w:lineRule="auto"/>
              <w:ind w:left="0" w:right="32"/>
              <w:rPr>
                <w:sz w:val="20"/>
                <w:szCs w:val="20"/>
                <w:lang w:val="en-GB"/>
              </w:rPr>
            </w:pPr>
          </w:p>
        </w:tc>
        <w:tc>
          <w:tcPr>
            <w:tcW w:w="1417" w:type="dxa"/>
          </w:tcPr>
          <w:p w14:paraId="04EDAD9F" w14:textId="77777777" w:rsidR="00F11A6C" w:rsidRPr="00AD7EBC" w:rsidRDefault="00F11A6C" w:rsidP="0030345F">
            <w:pPr>
              <w:ind w:left="142"/>
              <w:rPr>
                <w:sz w:val="20"/>
                <w:szCs w:val="20"/>
                <w:lang w:val="en-GB"/>
              </w:rPr>
            </w:pPr>
            <w:r w:rsidRPr="00AD7EBC">
              <w:rPr>
                <w:sz w:val="20"/>
                <w:szCs w:val="20"/>
                <w:lang w:val="en-GB"/>
              </w:rPr>
              <w:t>School</w:t>
            </w:r>
          </w:p>
        </w:tc>
        <w:tc>
          <w:tcPr>
            <w:tcW w:w="2127" w:type="dxa"/>
          </w:tcPr>
          <w:p w14:paraId="597C1C48" w14:textId="77777777" w:rsidR="00F11A6C" w:rsidRPr="00AD7EBC" w:rsidRDefault="00F11A6C" w:rsidP="0030345F">
            <w:pPr>
              <w:ind w:left="142"/>
              <w:rPr>
                <w:sz w:val="20"/>
                <w:szCs w:val="20"/>
                <w:lang w:val="en-GB"/>
              </w:rPr>
            </w:pPr>
            <w:r w:rsidRPr="00AD7EBC">
              <w:rPr>
                <w:sz w:val="20"/>
                <w:szCs w:val="20"/>
                <w:lang w:val="en-GB"/>
              </w:rPr>
              <w:t>School Monitoring -   SRH Club Registers</w:t>
            </w:r>
          </w:p>
          <w:p w14:paraId="55372C87" w14:textId="77777777" w:rsidR="00BF4286" w:rsidRPr="00AD7EBC" w:rsidRDefault="00BF4286" w:rsidP="0030345F">
            <w:pPr>
              <w:ind w:left="142"/>
              <w:rPr>
                <w:sz w:val="20"/>
                <w:szCs w:val="20"/>
                <w:lang w:val="en-GB"/>
              </w:rPr>
            </w:pPr>
          </w:p>
          <w:p w14:paraId="2D2A57B2" w14:textId="79235DC6" w:rsidR="00BF4286" w:rsidRPr="00AD7EBC" w:rsidRDefault="00BF4286" w:rsidP="0030345F">
            <w:pPr>
              <w:ind w:left="142"/>
              <w:rPr>
                <w:sz w:val="20"/>
                <w:szCs w:val="20"/>
                <w:lang w:val="en-GB"/>
              </w:rPr>
            </w:pPr>
            <w:r w:rsidRPr="00AD7EBC">
              <w:rPr>
                <w:sz w:val="20"/>
                <w:lang w:val="en-GB"/>
              </w:rPr>
              <w:t>(disaggregated by sex, age, geography, disability, and sub-groups)</w:t>
            </w:r>
          </w:p>
        </w:tc>
        <w:tc>
          <w:tcPr>
            <w:tcW w:w="2551" w:type="dxa"/>
          </w:tcPr>
          <w:p w14:paraId="4C732493" w14:textId="77777777" w:rsidR="00F11A6C" w:rsidRPr="00AD7EBC" w:rsidRDefault="00F11A6C" w:rsidP="0030345F">
            <w:pPr>
              <w:ind w:left="141" w:right="142"/>
              <w:rPr>
                <w:sz w:val="20"/>
                <w:szCs w:val="20"/>
                <w:lang w:val="en-GB"/>
              </w:rPr>
            </w:pPr>
            <w:r w:rsidRPr="00AD7EBC">
              <w:rPr>
                <w:sz w:val="20"/>
                <w:szCs w:val="20"/>
                <w:lang w:val="en-GB"/>
              </w:rPr>
              <w:t>Participation in SRH clubs will seek to improve life skills which are</w:t>
            </w:r>
            <w:r w:rsidRPr="00AD7EBC">
              <w:rPr>
                <w:sz w:val="20"/>
                <w:szCs w:val="20"/>
                <w:shd w:val="clear" w:color="auto" w:fill="FFFFFF"/>
                <w:lang w:val="en-GB"/>
              </w:rPr>
              <w:t xml:space="preserve"> critical to young people's ability to positively adapt to and deal with the demands and challenges of </w:t>
            </w:r>
            <w:r w:rsidRPr="00AD7EBC">
              <w:rPr>
                <w:color w:val="333333"/>
                <w:sz w:val="20"/>
                <w:szCs w:val="20"/>
                <w:shd w:val="clear" w:color="auto" w:fill="FFFFFF"/>
                <w:lang w:val="en-GB"/>
              </w:rPr>
              <w:t>life.</w:t>
            </w:r>
          </w:p>
        </w:tc>
        <w:tc>
          <w:tcPr>
            <w:tcW w:w="1843" w:type="dxa"/>
          </w:tcPr>
          <w:p w14:paraId="784EFE3B" w14:textId="77777777" w:rsidR="00F11A6C" w:rsidRPr="00AD7EBC" w:rsidRDefault="00F11A6C" w:rsidP="0030345F">
            <w:pPr>
              <w:ind w:left="141"/>
              <w:rPr>
                <w:sz w:val="20"/>
                <w:szCs w:val="20"/>
                <w:lang w:val="en-GB"/>
              </w:rPr>
            </w:pPr>
            <w:r w:rsidRPr="00AD7EBC">
              <w:rPr>
                <w:sz w:val="20"/>
                <w:szCs w:val="20"/>
                <w:lang w:val="en-GB"/>
              </w:rPr>
              <w:t xml:space="preserve">Baseline, </w:t>
            </w:r>
          </w:p>
          <w:p w14:paraId="097C0DAE" w14:textId="77777777" w:rsidR="00F11A6C" w:rsidRPr="00AD7EBC" w:rsidRDefault="00F11A6C" w:rsidP="0030345F">
            <w:pPr>
              <w:ind w:left="141"/>
              <w:rPr>
                <w:sz w:val="20"/>
                <w:szCs w:val="20"/>
                <w:lang w:val="en-GB"/>
              </w:rPr>
            </w:pPr>
            <w:r w:rsidRPr="00AD7EBC">
              <w:rPr>
                <w:sz w:val="20"/>
                <w:szCs w:val="20"/>
                <w:lang w:val="en-GB"/>
              </w:rPr>
              <w:t xml:space="preserve">Midline and </w:t>
            </w:r>
          </w:p>
          <w:p w14:paraId="77258394" w14:textId="77777777" w:rsidR="00F11A6C" w:rsidRPr="00AD7EBC" w:rsidRDefault="00F11A6C" w:rsidP="0030345F">
            <w:pPr>
              <w:ind w:left="141"/>
              <w:rPr>
                <w:sz w:val="20"/>
                <w:szCs w:val="20"/>
                <w:lang w:val="en-GB"/>
              </w:rPr>
            </w:pPr>
            <w:r w:rsidRPr="00AD7EBC">
              <w:rPr>
                <w:sz w:val="20"/>
                <w:szCs w:val="20"/>
                <w:lang w:val="en-GB"/>
              </w:rPr>
              <w:t>Endline</w:t>
            </w:r>
          </w:p>
        </w:tc>
      </w:tr>
      <w:tr w:rsidR="00F11A6C" w:rsidRPr="00AD7EBC" w14:paraId="6CF42089" w14:textId="77777777" w:rsidTr="0030345F">
        <w:trPr>
          <w:trHeight w:hRule="exact" w:val="2126"/>
        </w:trPr>
        <w:tc>
          <w:tcPr>
            <w:tcW w:w="1880" w:type="dxa"/>
          </w:tcPr>
          <w:p w14:paraId="2C284087" w14:textId="77777777" w:rsidR="00F11A6C" w:rsidRPr="00AD7EBC" w:rsidRDefault="00F11A6C" w:rsidP="0030345F">
            <w:pPr>
              <w:pStyle w:val="TableParagraph"/>
              <w:spacing w:line="276" w:lineRule="auto"/>
              <w:ind w:right="32"/>
              <w:rPr>
                <w:sz w:val="20"/>
                <w:szCs w:val="20"/>
                <w:lang w:val="en-GB"/>
              </w:rPr>
            </w:pPr>
            <w:r w:rsidRPr="00AD7EBC">
              <w:rPr>
                <w:sz w:val="20"/>
                <w:szCs w:val="20"/>
                <w:lang w:val="en-GB"/>
              </w:rPr>
              <w:t>3.2 Level of comfort girls feel expressing themselves at school, in the community and at home.</w:t>
            </w:r>
          </w:p>
        </w:tc>
        <w:tc>
          <w:tcPr>
            <w:tcW w:w="1417" w:type="dxa"/>
          </w:tcPr>
          <w:p w14:paraId="1F404466" w14:textId="77777777" w:rsidR="00F11A6C" w:rsidRPr="00AD7EBC" w:rsidRDefault="00F11A6C" w:rsidP="0030345F">
            <w:pPr>
              <w:ind w:left="142"/>
              <w:rPr>
                <w:sz w:val="20"/>
                <w:szCs w:val="20"/>
                <w:lang w:val="en-GB"/>
              </w:rPr>
            </w:pPr>
            <w:r w:rsidRPr="00AD7EBC">
              <w:rPr>
                <w:sz w:val="20"/>
                <w:szCs w:val="20"/>
                <w:lang w:val="en-GB"/>
              </w:rPr>
              <w:t xml:space="preserve"> Community</w:t>
            </w:r>
          </w:p>
        </w:tc>
        <w:tc>
          <w:tcPr>
            <w:tcW w:w="2127" w:type="dxa"/>
          </w:tcPr>
          <w:p w14:paraId="73DBC958" w14:textId="77777777" w:rsidR="00F11A6C" w:rsidRPr="00AD7EBC" w:rsidRDefault="00F11A6C" w:rsidP="0030345F">
            <w:pPr>
              <w:ind w:left="142"/>
              <w:rPr>
                <w:sz w:val="20"/>
                <w:szCs w:val="20"/>
                <w:lang w:val="en-GB"/>
              </w:rPr>
            </w:pPr>
            <w:r w:rsidRPr="00AD7EBC">
              <w:rPr>
                <w:sz w:val="20"/>
                <w:szCs w:val="20"/>
                <w:lang w:val="en-GB"/>
              </w:rPr>
              <w:t xml:space="preserve">Focus </w:t>
            </w:r>
            <w:proofErr w:type="gramStart"/>
            <w:r w:rsidRPr="00AD7EBC">
              <w:rPr>
                <w:sz w:val="20"/>
                <w:szCs w:val="20"/>
                <w:lang w:val="en-GB"/>
              </w:rPr>
              <w:t>Group  Discussions</w:t>
            </w:r>
            <w:proofErr w:type="gramEnd"/>
          </w:p>
          <w:p w14:paraId="0D984EB5" w14:textId="77777777" w:rsidR="000623E0" w:rsidRPr="00AD7EBC" w:rsidRDefault="000623E0" w:rsidP="0030345F">
            <w:pPr>
              <w:ind w:left="142"/>
              <w:rPr>
                <w:sz w:val="20"/>
                <w:szCs w:val="20"/>
                <w:lang w:val="en-GB"/>
              </w:rPr>
            </w:pPr>
          </w:p>
          <w:p w14:paraId="7F8CD039" w14:textId="374CEC06" w:rsidR="000623E0" w:rsidRPr="00AD7EBC" w:rsidRDefault="000623E0" w:rsidP="0030345F">
            <w:pPr>
              <w:ind w:left="142"/>
              <w:rPr>
                <w:sz w:val="20"/>
                <w:szCs w:val="20"/>
                <w:lang w:val="en-GB"/>
              </w:rPr>
            </w:pPr>
            <w:r w:rsidRPr="00AD7EBC">
              <w:rPr>
                <w:sz w:val="20"/>
                <w:lang w:val="en-GB"/>
              </w:rPr>
              <w:t>(disaggregated by age, geography, disability, and sub-groups)</w:t>
            </w:r>
          </w:p>
        </w:tc>
        <w:tc>
          <w:tcPr>
            <w:tcW w:w="2551" w:type="dxa"/>
          </w:tcPr>
          <w:p w14:paraId="581D0C5F" w14:textId="77777777" w:rsidR="00F11A6C" w:rsidRPr="00AD7EBC" w:rsidRDefault="00F11A6C" w:rsidP="0030345F">
            <w:pPr>
              <w:ind w:left="141" w:right="142"/>
              <w:rPr>
                <w:sz w:val="20"/>
                <w:szCs w:val="20"/>
                <w:lang w:val="en-GB"/>
              </w:rPr>
            </w:pPr>
            <w:r w:rsidRPr="00AD7EBC">
              <w:rPr>
                <w:sz w:val="20"/>
                <w:szCs w:val="20"/>
                <w:lang w:val="en-GB"/>
              </w:rPr>
              <w:t>Life skills should equip the girls with skills and confidence to make decisions and express themselves. This indicator will check if participation in clubs is giving positive results or not.</w:t>
            </w:r>
          </w:p>
        </w:tc>
        <w:tc>
          <w:tcPr>
            <w:tcW w:w="1843" w:type="dxa"/>
          </w:tcPr>
          <w:p w14:paraId="6D70877A" w14:textId="77777777" w:rsidR="00F11A6C" w:rsidRPr="00AD7EBC" w:rsidRDefault="00F11A6C" w:rsidP="0030345F">
            <w:pPr>
              <w:ind w:left="141"/>
              <w:rPr>
                <w:sz w:val="20"/>
                <w:szCs w:val="20"/>
                <w:lang w:val="en-GB"/>
              </w:rPr>
            </w:pPr>
            <w:r w:rsidRPr="00AD7EBC">
              <w:rPr>
                <w:sz w:val="20"/>
                <w:szCs w:val="20"/>
                <w:lang w:val="en-GB"/>
              </w:rPr>
              <w:t xml:space="preserve">Baseline, </w:t>
            </w:r>
          </w:p>
          <w:p w14:paraId="110A53E7" w14:textId="77777777" w:rsidR="00F11A6C" w:rsidRPr="00AD7EBC" w:rsidRDefault="00F11A6C" w:rsidP="0030345F">
            <w:pPr>
              <w:ind w:left="141"/>
              <w:rPr>
                <w:sz w:val="20"/>
                <w:szCs w:val="20"/>
                <w:lang w:val="en-GB"/>
              </w:rPr>
            </w:pPr>
            <w:r w:rsidRPr="00AD7EBC">
              <w:rPr>
                <w:sz w:val="20"/>
                <w:szCs w:val="20"/>
                <w:lang w:val="en-GB"/>
              </w:rPr>
              <w:t xml:space="preserve">Midline and </w:t>
            </w:r>
          </w:p>
          <w:p w14:paraId="54416CB4" w14:textId="77777777" w:rsidR="00F11A6C" w:rsidRPr="00AD7EBC" w:rsidRDefault="00F11A6C" w:rsidP="0030345F">
            <w:pPr>
              <w:ind w:left="141"/>
              <w:rPr>
                <w:sz w:val="20"/>
                <w:szCs w:val="20"/>
                <w:lang w:val="en-GB"/>
              </w:rPr>
            </w:pPr>
            <w:r w:rsidRPr="00AD7EBC">
              <w:rPr>
                <w:sz w:val="20"/>
                <w:szCs w:val="20"/>
                <w:lang w:val="en-GB"/>
              </w:rPr>
              <w:t>Endline</w:t>
            </w:r>
          </w:p>
        </w:tc>
      </w:tr>
      <w:tr w:rsidR="00F11A6C" w:rsidRPr="00AD7EBC" w14:paraId="2297BB62" w14:textId="77777777" w:rsidTr="00B10443">
        <w:trPr>
          <w:trHeight w:hRule="exact" w:val="2270"/>
        </w:trPr>
        <w:tc>
          <w:tcPr>
            <w:tcW w:w="1880" w:type="dxa"/>
          </w:tcPr>
          <w:p w14:paraId="6C911E3B" w14:textId="77777777" w:rsidR="00F11A6C" w:rsidRPr="00AD7EBC" w:rsidRDefault="00F11A6C" w:rsidP="00B10443">
            <w:pPr>
              <w:pStyle w:val="TableParagraph"/>
              <w:spacing w:line="276" w:lineRule="auto"/>
              <w:rPr>
                <w:b/>
                <w:sz w:val="20"/>
                <w:szCs w:val="20"/>
                <w:lang w:val="en-GB"/>
              </w:rPr>
            </w:pPr>
            <w:r w:rsidRPr="00AD7EBC">
              <w:rPr>
                <w:b/>
                <w:sz w:val="20"/>
                <w:szCs w:val="20"/>
                <w:lang w:val="en-GB"/>
              </w:rPr>
              <w:t>Intermediate outcome 4 -Economic Empowerment</w:t>
            </w:r>
          </w:p>
          <w:p w14:paraId="16419E05" w14:textId="77777777" w:rsidR="00F11A6C" w:rsidRPr="00AD7EBC" w:rsidRDefault="00F11A6C" w:rsidP="00B10443">
            <w:pPr>
              <w:pStyle w:val="TableParagraph"/>
              <w:spacing w:line="276" w:lineRule="auto"/>
              <w:rPr>
                <w:sz w:val="20"/>
                <w:szCs w:val="20"/>
                <w:lang w:val="en-GB"/>
              </w:rPr>
            </w:pPr>
            <w:r w:rsidRPr="00AD7EBC">
              <w:rPr>
                <w:sz w:val="20"/>
                <w:szCs w:val="20"/>
                <w:lang w:val="en-GB"/>
              </w:rPr>
              <w:t>4.1 Change in attendance rates of targeted girls</w:t>
            </w:r>
          </w:p>
        </w:tc>
        <w:tc>
          <w:tcPr>
            <w:tcW w:w="1417" w:type="dxa"/>
          </w:tcPr>
          <w:p w14:paraId="6E57DE89" w14:textId="77777777" w:rsidR="00F11A6C" w:rsidRPr="00AD7EBC" w:rsidRDefault="00F11A6C" w:rsidP="00B10443">
            <w:pPr>
              <w:ind w:left="142"/>
              <w:rPr>
                <w:sz w:val="20"/>
                <w:szCs w:val="20"/>
                <w:lang w:val="en-GB"/>
              </w:rPr>
            </w:pPr>
            <w:r w:rsidRPr="00AD7EBC">
              <w:rPr>
                <w:sz w:val="20"/>
                <w:szCs w:val="20"/>
                <w:lang w:val="en-GB"/>
              </w:rPr>
              <w:t>School</w:t>
            </w:r>
          </w:p>
        </w:tc>
        <w:tc>
          <w:tcPr>
            <w:tcW w:w="2127" w:type="dxa"/>
          </w:tcPr>
          <w:p w14:paraId="048A69A0" w14:textId="77777777" w:rsidR="00F11A6C" w:rsidRPr="00AD7EBC" w:rsidRDefault="00F11A6C" w:rsidP="00B10443">
            <w:pPr>
              <w:ind w:left="142"/>
              <w:rPr>
                <w:sz w:val="20"/>
                <w:szCs w:val="20"/>
                <w:lang w:val="en-GB"/>
              </w:rPr>
            </w:pPr>
            <w:r w:rsidRPr="00AD7EBC">
              <w:rPr>
                <w:sz w:val="20"/>
                <w:szCs w:val="20"/>
                <w:lang w:val="en-GB"/>
              </w:rPr>
              <w:t>Teacher Survey (School attendance rates)</w:t>
            </w:r>
          </w:p>
          <w:p w14:paraId="09C6C19E" w14:textId="77777777" w:rsidR="000623E0" w:rsidRPr="00AD7EBC" w:rsidRDefault="000623E0" w:rsidP="00B10443">
            <w:pPr>
              <w:ind w:left="142"/>
              <w:rPr>
                <w:sz w:val="20"/>
                <w:szCs w:val="20"/>
                <w:lang w:val="en-GB"/>
              </w:rPr>
            </w:pPr>
          </w:p>
          <w:p w14:paraId="3C011ADE" w14:textId="60AD1167" w:rsidR="000623E0" w:rsidRPr="00AD7EBC" w:rsidRDefault="000623E0" w:rsidP="00B10443">
            <w:pPr>
              <w:ind w:left="142"/>
              <w:rPr>
                <w:sz w:val="20"/>
                <w:szCs w:val="20"/>
                <w:lang w:val="en-GB"/>
              </w:rPr>
            </w:pPr>
            <w:r w:rsidRPr="00AD7EBC">
              <w:rPr>
                <w:sz w:val="20"/>
                <w:lang w:val="en-GB"/>
              </w:rPr>
              <w:t>(disaggregated by age, geography, disability, and sub-groups)</w:t>
            </w:r>
          </w:p>
        </w:tc>
        <w:tc>
          <w:tcPr>
            <w:tcW w:w="2551" w:type="dxa"/>
          </w:tcPr>
          <w:p w14:paraId="11707C1C" w14:textId="77777777" w:rsidR="00F11A6C" w:rsidRPr="00AD7EBC" w:rsidRDefault="00F11A6C" w:rsidP="00B10443">
            <w:pPr>
              <w:ind w:left="141"/>
              <w:rPr>
                <w:sz w:val="20"/>
                <w:szCs w:val="20"/>
                <w:lang w:val="en-GB"/>
              </w:rPr>
            </w:pPr>
            <w:r w:rsidRPr="00AD7EBC">
              <w:rPr>
                <w:sz w:val="20"/>
                <w:szCs w:val="20"/>
                <w:lang w:val="en-GB"/>
              </w:rPr>
              <w:t>Economic empowerment activities are expected to increase parents’ ability to pay for school fees for their children thereby improving attendance rates.</w:t>
            </w:r>
          </w:p>
        </w:tc>
        <w:tc>
          <w:tcPr>
            <w:tcW w:w="1843" w:type="dxa"/>
          </w:tcPr>
          <w:p w14:paraId="23560043" w14:textId="77777777" w:rsidR="00F11A6C" w:rsidRPr="00AD7EBC" w:rsidRDefault="00F11A6C" w:rsidP="00B10443">
            <w:pPr>
              <w:ind w:firstLine="141"/>
              <w:rPr>
                <w:sz w:val="20"/>
                <w:szCs w:val="20"/>
                <w:lang w:val="en-GB"/>
              </w:rPr>
            </w:pPr>
            <w:r w:rsidRPr="00AD7EBC">
              <w:rPr>
                <w:sz w:val="20"/>
                <w:szCs w:val="20"/>
                <w:lang w:val="en-GB"/>
              </w:rPr>
              <w:t xml:space="preserve">Baseline, </w:t>
            </w:r>
          </w:p>
          <w:p w14:paraId="3554C5C2" w14:textId="77777777" w:rsidR="00F11A6C" w:rsidRPr="00AD7EBC" w:rsidRDefault="00F11A6C" w:rsidP="00B10443">
            <w:pPr>
              <w:ind w:firstLine="141"/>
              <w:rPr>
                <w:sz w:val="20"/>
                <w:szCs w:val="20"/>
                <w:lang w:val="en-GB"/>
              </w:rPr>
            </w:pPr>
            <w:r w:rsidRPr="00AD7EBC">
              <w:rPr>
                <w:sz w:val="20"/>
                <w:szCs w:val="20"/>
                <w:lang w:val="en-GB"/>
              </w:rPr>
              <w:t xml:space="preserve">Midline and </w:t>
            </w:r>
          </w:p>
          <w:p w14:paraId="10337EE4" w14:textId="77777777" w:rsidR="00F11A6C" w:rsidRPr="00AD7EBC" w:rsidRDefault="00F11A6C" w:rsidP="00B10443">
            <w:pPr>
              <w:ind w:firstLine="141"/>
              <w:rPr>
                <w:sz w:val="20"/>
                <w:szCs w:val="20"/>
                <w:lang w:val="en-GB"/>
              </w:rPr>
            </w:pPr>
            <w:r w:rsidRPr="00AD7EBC">
              <w:rPr>
                <w:sz w:val="20"/>
                <w:szCs w:val="20"/>
                <w:lang w:val="en-GB"/>
              </w:rPr>
              <w:t>Endline</w:t>
            </w:r>
          </w:p>
        </w:tc>
      </w:tr>
      <w:tr w:rsidR="00F11A6C" w:rsidRPr="00AD7EBC" w14:paraId="02ED6337" w14:textId="77777777" w:rsidTr="00B10443">
        <w:trPr>
          <w:trHeight w:hRule="exact" w:val="2557"/>
        </w:trPr>
        <w:tc>
          <w:tcPr>
            <w:tcW w:w="1880" w:type="dxa"/>
          </w:tcPr>
          <w:p w14:paraId="31FC6E2D" w14:textId="77777777" w:rsidR="00F11A6C" w:rsidRPr="00AD7EBC" w:rsidRDefault="00F11A6C" w:rsidP="00B10443">
            <w:pPr>
              <w:pStyle w:val="TableParagraph"/>
              <w:spacing w:line="276" w:lineRule="auto"/>
              <w:rPr>
                <w:sz w:val="20"/>
                <w:szCs w:val="20"/>
                <w:lang w:val="en-GB"/>
              </w:rPr>
            </w:pPr>
            <w:r w:rsidRPr="00AD7EBC">
              <w:rPr>
                <w:sz w:val="20"/>
                <w:szCs w:val="20"/>
                <w:lang w:val="en-GB"/>
              </w:rPr>
              <w:t>4.2 Girls’ views on how financial support received impacted on their ability to further their education</w:t>
            </w:r>
          </w:p>
        </w:tc>
        <w:tc>
          <w:tcPr>
            <w:tcW w:w="1417" w:type="dxa"/>
          </w:tcPr>
          <w:p w14:paraId="3C1B8A71" w14:textId="77777777" w:rsidR="00F11A6C" w:rsidRPr="00AD7EBC" w:rsidRDefault="00F11A6C" w:rsidP="00B10443">
            <w:pPr>
              <w:ind w:left="142"/>
              <w:rPr>
                <w:sz w:val="20"/>
                <w:szCs w:val="20"/>
                <w:lang w:val="en-GB"/>
              </w:rPr>
            </w:pPr>
            <w:r w:rsidRPr="00AD7EBC">
              <w:rPr>
                <w:sz w:val="20"/>
                <w:szCs w:val="20"/>
                <w:lang w:val="en-GB"/>
              </w:rPr>
              <w:t>Community</w:t>
            </w:r>
          </w:p>
        </w:tc>
        <w:tc>
          <w:tcPr>
            <w:tcW w:w="2127" w:type="dxa"/>
          </w:tcPr>
          <w:p w14:paraId="57B09AF5" w14:textId="77777777" w:rsidR="00F11A6C" w:rsidRPr="00AD7EBC" w:rsidRDefault="00F11A6C" w:rsidP="00B10443">
            <w:pPr>
              <w:ind w:left="142"/>
              <w:rPr>
                <w:sz w:val="20"/>
                <w:szCs w:val="20"/>
                <w:lang w:val="en-GB"/>
              </w:rPr>
            </w:pPr>
            <w:r w:rsidRPr="00AD7EBC">
              <w:rPr>
                <w:sz w:val="20"/>
                <w:szCs w:val="20"/>
                <w:lang w:val="en-GB"/>
              </w:rPr>
              <w:t>Focus Group Discussions</w:t>
            </w:r>
          </w:p>
          <w:p w14:paraId="46798C47" w14:textId="77777777" w:rsidR="000623E0" w:rsidRPr="00AD7EBC" w:rsidRDefault="000623E0" w:rsidP="00B10443">
            <w:pPr>
              <w:ind w:left="142"/>
              <w:rPr>
                <w:sz w:val="20"/>
                <w:szCs w:val="20"/>
                <w:lang w:val="en-GB"/>
              </w:rPr>
            </w:pPr>
          </w:p>
          <w:p w14:paraId="079ADF94" w14:textId="318A2AF0" w:rsidR="000623E0" w:rsidRPr="00AD7EBC" w:rsidRDefault="000623E0" w:rsidP="00B10443">
            <w:pPr>
              <w:ind w:left="142"/>
              <w:rPr>
                <w:sz w:val="20"/>
                <w:szCs w:val="20"/>
                <w:lang w:val="en-GB"/>
              </w:rPr>
            </w:pPr>
            <w:r w:rsidRPr="00AD7EBC">
              <w:rPr>
                <w:sz w:val="20"/>
                <w:lang w:val="en-GB"/>
              </w:rPr>
              <w:t>(disaggregated by age, geography, disability, and sub-groups)</w:t>
            </w:r>
          </w:p>
        </w:tc>
        <w:tc>
          <w:tcPr>
            <w:tcW w:w="2551" w:type="dxa"/>
          </w:tcPr>
          <w:p w14:paraId="5B7FF207" w14:textId="4ED6AF44" w:rsidR="00F11A6C" w:rsidRPr="00AD7EBC" w:rsidRDefault="00F11A6C" w:rsidP="00B10443">
            <w:pPr>
              <w:ind w:left="141"/>
              <w:rPr>
                <w:sz w:val="20"/>
                <w:szCs w:val="20"/>
                <w:lang w:val="en-GB"/>
              </w:rPr>
            </w:pPr>
            <w:r w:rsidRPr="00AD7EBC">
              <w:rPr>
                <w:sz w:val="20"/>
                <w:szCs w:val="20"/>
                <w:lang w:val="en-GB"/>
              </w:rPr>
              <w:t>Increasing household income is expected to have wider benefits for household members including increased investment in adolescent girls (e.g. improved foo</w:t>
            </w:r>
            <w:r w:rsidR="00AD7EBC">
              <w:rPr>
                <w:sz w:val="20"/>
                <w:szCs w:val="20"/>
                <w:lang w:val="en-GB"/>
              </w:rPr>
              <w:t>d security, increased access to</w:t>
            </w:r>
            <w:r w:rsidRPr="00AD7EBC">
              <w:rPr>
                <w:sz w:val="20"/>
                <w:szCs w:val="20"/>
                <w:lang w:val="en-GB"/>
              </w:rPr>
              <w:t xml:space="preserve"> education, health and social needs for girls)</w:t>
            </w:r>
          </w:p>
        </w:tc>
        <w:tc>
          <w:tcPr>
            <w:tcW w:w="1843" w:type="dxa"/>
          </w:tcPr>
          <w:p w14:paraId="5674D866" w14:textId="77777777" w:rsidR="00F11A6C" w:rsidRPr="00AD7EBC" w:rsidRDefault="00F11A6C" w:rsidP="00B10443">
            <w:pPr>
              <w:ind w:firstLine="141"/>
              <w:rPr>
                <w:sz w:val="20"/>
                <w:szCs w:val="20"/>
                <w:lang w:val="en-GB"/>
              </w:rPr>
            </w:pPr>
            <w:r w:rsidRPr="00AD7EBC">
              <w:rPr>
                <w:sz w:val="20"/>
                <w:szCs w:val="20"/>
                <w:lang w:val="en-GB"/>
              </w:rPr>
              <w:t xml:space="preserve">Baseline, </w:t>
            </w:r>
          </w:p>
          <w:p w14:paraId="5B9EA36F" w14:textId="77777777" w:rsidR="00F11A6C" w:rsidRPr="00AD7EBC" w:rsidRDefault="00F11A6C" w:rsidP="00B10443">
            <w:pPr>
              <w:ind w:firstLine="141"/>
              <w:rPr>
                <w:sz w:val="20"/>
                <w:szCs w:val="20"/>
                <w:lang w:val="en-GB"/>
              </w:rPr>
            </w:pPr>
            <w:r w:rsidRPr="00AD7EBC">
              <w:rPr>
                <w:sz w:val="20"/>
                <w:szCs w:val="20"/>
                <w:lang w:val="en-GB"/>
              </w:rPr>
              <w:t xml:space="preserve">Midline and </w:t>
            </w:r>
          </w:p>
          <w:p w14:paraId="6FF0C61E" w14:textId="77777777" w:rsidR="00F11A6C" w:rsidRPr="00AD7EBC" w:rsidRDefault="00F11A6C" w:rsidP="00B10443">
            <w:pPr>
              <w:ind w:firstLine="141"/>
              <w:rPr>
                <w:sz w:val="20"/>
                <w:szCs w:val="20"/>
                <w:lang w:val="en-GB"/>
              </w:rPr>
            </w:pPr>
            <w:r w:rsidRPr="00AD7EBC">
              <w:rPr>
                <w:sz w:val="20"/>
                <w:szCs w:val="20"/>
                <w:lang w:val="en-GB"/>
              </w:rPr>
              <w:t>Endline</w:t>
            </w:r>
          </w:p>
        </w:tc>
      </w:tr>
      <w:tr w:rsidR="00F11A6C" w:rsidRPr="00AD7EBC" w14:paraId="3B3FBDAA" w14:textId="77777777" w:rsidTr="00B10443">
        <w:trPr>
          <w:trHeight w:hRule="exact" w:val="3104"/>
        </w:trPr>
        <w:tc>
          <w:tcPr>
            <w:tcW w:w="1880" w:type="dxa"/>
          </w:tcPr>
          <w:p w14:paraId="6803E143" w14:textId="3BE17FA6" w:rsidR="00F11A6C" w:rsidRPr="00AD7EBC" w:rsidRDefault="00F11A6C" w:rsidP="00B10443">
            <w:pPr>
              <w:pStyle w:val="TableParagraph"/>
              <w:spacing w:line="276" w:lineRule="auto"/>
              <w:rPr>
                <w:sz w:val="20"/>
                <w:szCs w:val="20"/>
                <w:lang w:val="en-GB"/>
              </w:rPr>
            </w:pPr>
            <w:r w:rsidRPr="00AD7EBC">
              <w:rPr>
                <w:sz w:val="20"/>
                <w:szCs w:val="20"/>
                <w:lang w:val="en-GB"/>
              </w:rPr>
              <w:lastRenderedPageBreak/>
              <w:t>4.3 P</w:t>
            </w:r>
            <w:r w:rsidR="00AD7EBC">
              <w:rPr>
                <w:sz w:val="20"/>
                <w:szCs w:val="20"/>
                <w:lang w:val="en-GB"/>
              </w:rPr>
              <w:t xml:space="preserve">arents’ views on how access to </w:t>
            </w:r>
            <w:r w:rsidRPr="00AD7EBC">
              <w:rPr>
                <w:sz w:val="20"/>
                <w:szCs w:val="20"/>
                <w:lang w:val="en-GB"/>
              </w:rPr>
              <w:t>financial support impacted on family income level and use (e.g. spend on education costs, investment in daughter overall, saving for further education, etc.)</w:t>
            </w:r>
          </w:p>
        </w:tc>
        <w:tc>
          <w:tcPr>
            <w:tcW w:w="1417" w:type="dxa"/>
          </w:tcPr>
          <w:p w14:paraId="77E5AE97" w14:textId="77777777" w:rsidR="00F11A6C" w:rsidRPr="00AD7EBC" w:rsidRDefault="00F11A6C" w:rsidP="00B10443">
            <w:pPr>
              <w:ind w:left="142"/>
              <w:rPr>
                <w:sz w:val="20"/>
                <w:szCs w:val="20"/>
                <w:lang w:val="en-GB"/>
              </w:rPr>
            </w:pPr>
            <w:r w:rsidRPr="00AD7EBC">
              <w:rPr>
                <w:sz w:val="20"/>
                <w:szCs w:val="20"/>
                <w:lang w:val="en-GB"/>
              </w:rPr>
              <w:t>Community</w:t>
            </w:r>
          </w:p>
        </w:tc>
        <w:tc>
          <w:tcPr>
            <w:tcW w:w="2127" w:type="dxa"/>
          </w:tcPr>
          <w:p w14:paraId="77B70F09" w14:textId="77777777" w:rsidR="00F11A6C" w:rsidRPr="00AD7EBC" w:rsidRDefault="00F11A6C" w:rsidP="00B10443">
            <w:pPr>
              <w:ind w:left="142"/>
              <w:rPr>
                <w:sz w:val="20"/>
                <w:szCs w:val="20"/>
                <w:lang w:val="en-GB"/>
              </w:rPr>
            </w:pPr>
            <w:r w:rsidRPr="00AD7EBC">
              <w:rPr>
                <w:sz w:val="20"/>
                <w:szCs w:val="20"/>
                <w:lang w:val="en-GB"/>
              </w:rPr>
              <w:t>Focus Group Discussions</w:t>
            </w:r>
          </w:p>
          <w:p w14:paraId="6091ED88" w14:textId="77777777" w:rsidR="000623E0" w:rsidRPr="00AD7EBC" w:rsidRDefault="000623E0" w:rsidP="00B10443">
            <w:pPr>
              <w:ind w:left="142"/>
              <w:rPr>
                <w:sz w:val="20"/>
                <w:szCs w:val="20"/>
                <w:lang w:val="en-GB"/>
              </w:rPr>
            </w:pPr>
          </w:p>
          <w:p w14:paraId="4167D33D" w14:textId="2AA54005" w:rsidR="000623E0" w:rsidRPr="00AD7EBC" w:rsidRDefault="000623E0" w:rsidP="00B10443">
            <w:pPr>
              <w:ind w:left="142"/>
              <w:rPr>
                <w:sz w:val="20"/>
                <w:szCs w:val="20"/>
                <w:lang w:val="en-GB"/>
              </w:rPr>
            </w:pPr>
            <w:r w:rsidRPr="00AD7EBC">
              <w:rPr>
                <w:sz w:val="20"/>
                <w:lang w:val="en-GB"/>
              </w:rPr>
              <w:t>(disaggregated by sex and geography)</w:t>
            </w:r>
          </w:p>
        </w:tc>
        <w:tc>
          <w:tcPr>
            <w:tcW w:w="2551" w:type="dxa"/>
          </w:tcPr>
          <w:p w14:paraId="471F92B7" w14:textId="56179FA6" w:rsidR="00F11A6C" w:rsidRPr="00AD7EBC" w:rsidRDefault="00F11A6C" w:rsidP="00B10443">
            <w:pPr>
              <w:ind w:left="141"/>
              <w:rPr>
                <w:sz w:val="20"/>
                <w:szCs w:val="20"/>
                <w:lang w:val="en-GB"/>
              </w:rPr>
            </w:pPr>
            <w:r w:rsidRPr="00AD7EBC">
              <w:rPr>
                <w:sz w:val="20"/>
                <w:szCs w:val="20"/>
                <w:lang w:val="en-GB"/>
              </w:rPr>
              <w:t>Increasing household income is expected to have wider benefits for household members including increased investment in adolescent girls (e.g. improved foo</w:t>
            </w:r>
            <w:r w:rsidR="00AD7EBC">
              <w:rPr>
                <w:sz w:val="20"/>
                <w:szCs w:val="20"/>
                <w:lang w:val="en-GB"/>
              </w:rPr>
              <w:t>d security, increased access to</w:t>
            </w:r>
            <w:r w:rsidRPr="00AD7EBC">
              <w:rPr>
                <w:sz w:val="20"/>
                <w:szCs w:val="20"/>
                <w:lang w:val="en-GB"/>
              </w:rPr>
              <w:t xml:space="preserve"> education, health and social needs for girls)</w:t>
            </w:r>
          </w:p>
        </w:tc>
        <w:tc>
          <w:tcPr>
            <w:tcW w:w="1843" w:type="dxa"/>
          </w:tcPr>
          <w:p w14:paraId="214C623B" w14:textId="77777777" w:rsidR="00F11A6C" w:rsidRPr="00AD7EBC" w:rsidRDefault="00F11A6C" w:rsidP="00B10443">
            <w:pPr>
              <w:ind w:firstLine="141"/>
              <w:rPr>
                <w:sz w:val="20"/>
                <w:szCs w:val="20"/>
                <w:lang w:val="en-GB"/>
              </w:rPr>
            </w:pPr>
            <w:r w:rsidRPr="00AD7EBC">
              <w:rPr>
                <w:sz w:val="20"/>
                <w:szCs w:val="20"/>
                <w:lang w:val="en-GB"/>
              </w:rPr>
              <w:t xml:space="preserve">Baseline, </w:t>
            </w:r>
          </w:p>
          <w:p w14:paraId="0A612C8E" w14:textId="77777777" w:rsidR="00F11A6C" w:rsidRPr="00AD7EBC" w:rsidRDefault="00F11A6C" w:rsidP="00B10443">
            <w:pPr>
              <w:ind w:firstLine="141"/>
              <w:rPr>
                <w:sz w:val="20"/>
                <w:szCs w:val="20"/>
                <w:lang w:val="en-GB"/>
              </w:rPr>
            </w:pPr>
            <w:r w:rsidRPr="00AD7EBC">
              <w:rPr>
                <w:sz w:val="20"/>
                <w:szCs w:val="20"/>
                <w:lang w:val="en-GB"/>
              </w:rPr>
              <w:t xml:space="preserve">Midline and </w:t>
            </w:r>
          </w:p>
          <w:p w14:paraId="4CF70320" w14:textId="77777777" w:rsidR="00F11A6C" w:rsidRPr="00AD7EBC" w:rsidRDefault="00F11A6C" w:rsidP="00B10443">
            <w:pPr>
              <w:ind w:firstLine="141"/>
              <w:rPr>
                <w:sz w:val="20"/>
                <w:szCs w:val="20"/>
                <w:lang w:val="en-GB"/>
              </w:rPr>
            </w:pPr>
            <w:r w:rsidRPr="00AD7EBC">
              <w:rPr>
                <w:sz w:val="20"/>
                <w:szCs w:val="20"/>
                <w:lang w:val="en-GB"/>
              </w:rPr>
              <w:t>Endline</w:t>
            </w:r>
          </w:p>
        </w:tc>
      </w:tr>
    </w:tbl>
    <w:p w14:paraId="1D0D2DDB" w14:textId="77777777" w:rsidR="00F11A6C" w:rsidRPr="00AD7EBC" w:rsidRDefault="00F11A6C" w:rsidP="007C7D0F">
      <w:pPr>
        <w:ind w:left="100" w:right="61"/>
        <w:rPr>
          <w:lang w:val="en-GB"/>
        </w:rPr>
      </w:pPr>
    </w:p>
    <w:p w14:paraId="757CA0BF" w14:textId="77777777" w:rsidR="007C7D0F" w:rsidRPr="00AD7EBC" w:rsidRDefault="007C7D0F" w:rsidP="007C7D0F">
      <w:pPr>
        <w:pStyle w:val="BodyText"/>
        <w:spacing w:before="10"/>
        <w:rPr>
          <w:i/>
          <w:sz w:val="13"/>
          <w:lang w:val="en-GB"/>
        </w:rPr>
      </w:pPr>
    </w:p>
    <w:p w14:paraId="435AC712" w14:textId="54EACE75" w:rsidR="007C7D0F" w:rsidRPr="00AD7EBC" w:rsidRDefault="007C7D0F" w:rsidP="00CF1701">
      <w:pPr>
        <w:pStyle w:val="ListParagraph"/>
        <w:numPr>
          <w:ilvl w:val="2"/>
          <w:numId w:val="11"/>
        </w:numPr>
        <w:spacing w:before="72"/>
        <w:ind w:left="904"/>
        <w:jc w:val="both"/>
        <w:rPr>
          <w:b/>
          <w:lang w:val="en-GB"/>
        </w:rPr>
      </w:pPr>
      <w:bookmarkStart w:id="6" w:name="_Hlk484357912"/>
      <w:r w:rsidRPr="00AD7EBC">
        <w:rPr>
          <w:color w:val="1F487C"/>
          <w:lang w:val="en-GB"/>
        </w:rPr>
        <w:t xml:space="preserve">Sustainability </w:t>
      </w:r>
    </w:p>
    <w:p w14:paraId="31326D5B" w14:textId="77777777" w:rsidR="00AD7EBC" w:rsidRDefault="00AD7EBC" w:rsidP="006E3532">
      <w:pPr>
        <w:pStyle w:val="BodyText"/>
        <w:spacing w:before="57"/>
        <w:ind w:left="100" w:right="106"/>
        <w:rPr>
          <w:i/>
          <w:sz w:val="20"/>
          <w:lang w:val="en-GB"/>
        </w:rPr>
      </w:pPr>
    </w:p>
    <w:p w14:paraId="3214D8DB" w14:textId="17C51CB7" w:rsidR="006E3532" w:rsidRPr="00AD7EBC" w:rsidRDefault="006E3532" w:rsidP="00CF1701">
      <w:pPr>
        <w:pStyle w:val="BodyText"/>
        <w:spacing w:before="57"/>
        <w:ind w:left="100" w:right="106"/>
        <w:rPr>
          <w:lang w:val="en-GB"/>
        </w:rPr>
      </w:pPr>
      <w:r w:rsidRPr="00AD7EBC">
        <w:rPr>
          <w:lang w:val="en-GB"/>
        </w:rPr>
        <w:t xml:space="preserve">The External Evaluators will measure sustainability through tracking key changes that the project would like to sustain in future using the GEC Guidance on Sustainability. Measurement will be done at three community, school and system levels. Information gathered through a mix of </w:t>
      </w:r>
      <w:r w:rsidR="00AD7EBC">
        <w:rPr>
          <w:lang w:val="en-GB"/>
        </w:rPr>
        <w:t>qualitative and quantitative tools will be analys</w:t>
      </w:r>
      <w:r w:rsidRPr="00AD7EBC">
        <w:rPr>
          <w:lang w:val="en-GB"/>
        </w:rPr>
        <w:t xml:space="preserve">ed against the GEC Sustainability Score Card. </w:t>
      </w:r>
    </w:p>
    <w:p w14:paraId="64D01190" w14:textId="10AF2946" w:rsidR="006E3532" w:rsidRPr="00AD7EBC" w:rsidRDefault="006E3532" w:rsidP="006E3532">
      <w:pPr>
        <w:pStyle w:val="BodyText"/>
        <w:spacing w:before="57"/>
        <w:ind w:left="100" w:right="106"/>
        <w:rPr>
          <w:lang w:val="en-GB"/>
        </w:rPr>
      </w:pPr>
      <w:r w:rsidRPr="00AD7EBC">
        <w:rPr>
          <w:lang w:val="en-GB"/>
        </w:rPr>
        <w:t>•</w:t>
      </w:r>
      <w:r w:rsidRPr="00AD7EBC">
        <w:rPr>
          <w:lang w:val="en-GB"/>
        </w:rPr>
        <w:tab/>
        <w:t xml:space="preserve">Community – At school level focus will be include changes in </w:t>
      </w:r>
      <w:r w:rsidR="00AD7EBC" w:rsidRPr="00AD7EBC">
        <w:rPr>
          <w:lang w:val="en-GB"/>
        </w:rPr>
        <w:t>parents’</w:t>
      </w:r>
      <w:r w:rsidRPr="00AD7EBC">
        <w:rPr>
          <w:lang w:val="en-GB"/>
        </w:rPr>
        <w:t xml:space="preserve"> attitudes on gender equity as well as drivers on community participation especially focusing on VSLA</w:t>
      </w:r>
      <w:r w:rsidR="003B04A9" w:rsidRPr="00AD7EBC">
        <w:rPr>
          <w:lang w:val="en-GB"/>
        </w:rPr>
        <w:t>/CVA</w:t>
      </w:r>
      <w:r w:rsidRPr="00AD7EBC">
        <w:rPr>
          <w:lang w:val="en-GB"/>
        </w:rPr>
        <w:t xml:space="preserve"> groups how they ‘keep growing’ in size and number.  </w:t>
      </w:r>
    </w:p>
    <w:p w14:paraId="1D3EB082" w14:textId="77777777" w:rsidR="006E3532" w:rsidRPr="00AD7EBC" w:rsidRDefault="006E3532" w:rsidP="006E3532">
      <w:pPr>
        <w:pStyle w:val="BodyText"/>
        <w:spacing w:before="57"/>
        <w:ind w:left="100" w:right="106"/>
        <w:rPr>
          <w:lang w:val="en-GB"/>
        </w:rPr>
      </w:pPr>
      <w:r w:rsidRPr="00AD7EBC">
        <w:rPr>
          <w:lang w:val="en-GB"/>
        </w:rPr>
        <w:t>•</w:t>
      </w:r>
      <w:r w:rsidRPr="00AD7EBC">
        <w:rPr>
          <w:lang w:val="en-GB"/>
        </w:rPr>
        <w:tab/>
        <w:t xml:space="preserve">School – Adoption of improved teaching methods, conflict sensitive and inclusive approaches by schools and teachers will be measured over time through the use of learning observations, focus group discussions with pupils, and key informant interviews.  </w:t>
      </w:r>
    </w:p>
    <w:p w14:paraId="37377576" w14:textId="090633FC" w:rsidR="006E3532" w:rsidRPr="00AD7EBC" w:rsidRDefault="006E3532" w:rsidP="006E3532">
      <w:pPr>
        <w:pStyle w:val="BodyText"/>
        <w:spacing w:before="57"/>
        <w:ind w:left="100" w:right="106"/>
        <w:rPr>
          <w:lang w:val="en-GB"/>
        </w:rPr>
      </w:pPr>
      <w:r w:rsidRPr="00AD7EBC">
        <w:rPr>
          <w:lang w:val="en-GB"/>
        </w:rPr>
        <w:t>•</w:t>
      </w:r>
      <w:r w:rsidRPr="00AD7EBC">
        <w:rPr>
          <w:lang w:val="en-GB"/>
        </w:rPr>
        <w:tab/>
        <w:t>System – At the system level, measurements will include adoption of monitoring tools by the ministry and qualitative data will seek to understand the benefits and perceived value add by the users. Information gathered will provide indications of continued use even after the project closure.</w:t>
      </w:r>
    </w:p>
    <w:bookmarkEnd w:id="6"/>
    <w:p w14:paraId="0FDCC1B6" w14:textId="5BB429F6" w:rsidR="00CA23A6" w:rsidRDefault="00CA23A6">
      <w:pPr>
        <w:widowControl/>
        <w:spacing w:after="160" w:line="259" w:lineRule="auto"/>
        <w:rPr>
          <w:sz w:val="20"/>
          <w:lang w:val="en-GB"/>
        </w:rPr>
      </w:pPr>
      <w:r>
        <w:rPr>
          <w:sz w:val="20"/>
          <w:lang w:val="en-GB"/>
        </w:rPr>
        <w:br w:type="page"/>
      </w:r>
    </w:p>
    <w:p w14:paraId="29BAAB6B" w14:textId="77777777" w:rsidR="007C7D0F" w:rsidRPr="00AD7EBC" w:rsidRDefault="007C7D0F" w:rsidP="007C7D0F">
      <w:pPr>
        <w:pStyle w:val="BodyText"/>
        <w:spacing w:before="11"/>
        <w:rPr>
          <w:sz w:val="20"/>
          <w:lang w:val="en-GB"/>
        </w:rPr>
      </w:pPr>
    </w:p>
    <w:p w14:paraId="23000A88" w14:textId="7EF7C876" w:rsidR="007C7D0F" w:rsidRPr="00AD7EBC" w:rsidRDefault="007C7D0F" w:rsidP="00011402">
      <w:pPr>
        <w:ind w:left="100" w:right="61"/>
        <w:outlineLvl w:val="0"/>
        <w:rPr>
          <w:i/>
          <w:lang w:val="en-GB"/>
        </w:rPr>
      </w:pPr>
      <w:r w:rsidRPr="00AD7EBC">
        <w:rPr>
          <w:i/>
          <w:lang w:val="en-GB"/>
        </w:rPr>
        <w:t>Table 3: Sustainability outcome for measurement</w:t>
      </w:r>
    </w:p>
    <w:p w14:paraId="02D262EA" w14:textId="77777777" w:rsidR="006E3532" w:rsidRPr="00AD7EBC" w:rsidRDefault="006E3532" w:rsidP="00AD7EBC">
      <w:pPr>
        <w:ind w:right="61"/>
        <w:rPr>
          <w:lang w:val="en-GB"/>
        </w:rPr>
      </w:pPr>
    </w:p>
    <w:p w14:paraId="53A0CBB6" w14:textId="77777777" w:rsidR="007C7D0F" w:rsidRPr="00AD7EBC" w:rsidRDefault="007C7D0F" w:rsidP="007C7D0F">
      <w:pPr>
        <w:pStyle w:val="BodyText"/>
        <w:spacing w:before="10"/>
        <w:rPr>
          <w:i/>
          <w:sz w:val="13"/>
          <w:lang w:val="en-GB"/>
        </w:rPr>
      </w:pPr>
    </w:p>
    <w:tbl>
      <w:tblPr>
        <w:tblW w:w="1010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596"/>
        <w:gridCol w:w="1701"/>
        <w:gridCol w:w="1843"/>
        <w:gridCol w:w="3402"/>
        <w:gridCol w:w="1559"/>
      </w:tblGrid>
      <w:tr w:rsidR="006E3532" w:rsidRPr="00CF1701" w14:paraId="4F04806A" w14:textId="77777777" w:rsidTr="00CF1701">
        <w:trPr>
          <w:trHeight w:hRule="exact" w:val="1277"/>
          <w:tblHeader/>
        </w:trPr>
        <w:tc>
          <w:tcPr>
            <w:tcW w:w="1596" w:type="dxa"/>
            <w:shd w:val="clear" w:color="auto" w:fill="DEEAF6" w:themeFill="accent5" w:themeFillTint="33"/>
          </w:tcPr>
          <w:p w14:paraId="44BD6FC1" w14:textId="77777777" w:rsidR="006E3532" w:rsidRPr="00CF1701" w:rsidRDefault="006E3532" w:rsidP="009B7C2B">
            <w:pPr>
              <w:pStyle w:val="TableParagraph"/>
              <w:spacing w:line="276" w:lineRule="auto"/>
              <w:ind w:right="126"/>
              <w:rPr>
                <w:b/>
                <w:sz w:val="18"/>
                <w:szCs w:val="20"/>
                <w:lang w:val="en-GB"/>
              </w:rPr>
            </w:pPr>
            <w:r w:rsidRPr="00CF1701">
              <w:rPr>
                <w:b/>
                <w:sz w:val="18"/>
                <w:szCs w:val="20"/>
                <w:lang w:val="en-GB"/>
              </w:rPr>
              <w:t>Sustainability Level</w:t>
            </w:r>
          </w:p>
        </w:tc>
        <w:tc>
          <w:tcPr>
            <w:tcW w:w="1701" w:type="dxa"/>
            <w:shd w:val="clear" w:color="auto" w:fill="DEEAF6" w:themeFill="accent5" w:themeFillTint="33"/>
          </w:tcPr>
          <w:p w14:paraId="3275173B" w14:textId="77777777" w:rsidR="006E3532" w:rsidRPr="00CF1701" w:rsidRDefault="006E3532" w:rsidP="009B7C2B">
            <w:pPr>
              <w:pStyle w:val="TableParagraph"/>
              <w:spacing w:line="276" w:lineRule="auto"/>
              <w:ind w:right="224"/>
              <w:rPr>
                <w:b/>
                <w:sz w:val="18"/>
                <w:szCs w:val="20"/>
                <w:lang w:val="en-GB"/>
              </w:rPr>
            </w:pPr>
            <w:r w:rsidRPr="00CF1701">
              <w:rPr>
                <w:b/>
                <w:sz w:val="18"/>
                <w:szCs w:val="20"/>
                <w:lang w:val="en-GB"/>
              </w:rPr>
              <w:t>Where will measurement take place?</w:t>
            </w:r>
          </w:p>
        </w:tc>
        <w:tc>
          <w:tcPr>
            <w:tcW w:w="1843" w:type="dxa"/>
            <w:shd w:val="clear" w:color="auto" w:fill="DEEAF6" w:themeFill="accent5" w:themeFillTint="33"/>
          </w:tcPr>
          <w:p w14:paraId="5108FD49" w14:textId="77777777" w:rsidR="006E3532" w:rsidRPr="00CF1701" w:rsidRDefault="006E3532" w:rsidP="009B7C2B">
            <w:pPr>
              <w:pStyle w:val="TableParagraph"/>
              <w:spacing w:line="276" w:lineRule="auto"/>
              <w:ind w:right="89"/>
              <w:rPr>
                <w:b/>
                <w:sz w:val="18"/>
                <w:szCs w:val="20"/>
                <w:lang w:val="en-GB"/>
              </w:rPr>
            </w:pPr>
            <w:r w:rsidRPr="00CF1701">
              <w:rPr>
                <w:b/>
                <w:sz w:val="18"/>
                <w:szCs w:val="20"/>
                <w:lang w:val="en-GB"/>
              </w:rPr>
              <w:t>What source of measurement/ verification will you use?</w:t>
            </w:r>
          </w:p>
        </w:tc>
        <w:tc>
          <w:tcPr>
            <w:tcW w:w="3402" w:type="dxa"/>
            <w:shd w:val="clear" w:color="auto" w:fill="DEEAF6" w:themeFill="accent5" w:themeFillTint="33"/>
          </w:tcPr>
          <w:p w14:paraId="60E9C4F7" w14:textId="77777777" w:rsidR="006E3532" w:rsidRPr="00CF1701" w:rsidRDefault="006E3532" w:rsidP="009B7C2B">
            <w:pPr>
              <w:pStyle w:val="TableParagraph"/>
              <w:spacing w:line="276" w:lineRule="auto"/>
              <w:ind w:right="220"/>
              <w:rPr>
                <w:b/>
                <w:sz w:val="18"/>
                <w:szCs w:val="20"/>
                <w:lang w:val="en-GB"/>
              </w:rPr>
            </w:pPr>
            <w:r w:rsidRPr="00CF1701">
              <w:rPr>
                <w:b/>
                <w:sz w:val="18"/>
                <w:szCs w:val="20"/>
                <w:lang w:val="en-GB"/>
              </w:rPr>
              <w:t>Rationale – clarify how you will use your qualitative analysis to support your chosen indicators.</w:t>
            </w:r>
          </w:p>
        </w:tc>
        <w:tc>
          <w:tcPr>
            <w:tcW w:w="1559" w:type="dxa"/>
            <w:shd w:val="clear" w:color="auto" w:fill="DEEAF6" w:themeFill="accent5" w:themeFillTint="33"/>
          </w:tcPr>
          <w:p w14:paraId="033623B5" w14:textId="77777777" w:rsidR="006E3532" w:rsidRPr="00CF1701" w:rsidRDefault="006E3532" w:rsidP="009B7C2B">
            <w:pPr>
              <w:pStyle w:val="TableParagraph"/>
              <w:spacing w:line="276" w:lineRule="auto"/>
              <w:ind w:right="321"/>
              <w:rPr>
                <w:b/>
                <w:sz w:val="18"/>
                <w:szCs w:val="20"/>
                <w:lang w:val="en-GB"/>
              </w:rPr>
            </w:pPr>
            <w:r w:rsidRPr="00CF1701">
              <w:rPr>
                <w:b/>
                <w:sz w:val="18"/>
                <w:szCs w:val="20"/>
                <w:lang w:val="en-GB"/>
              </w:rPr>
              <w:t>Frequency of data collection</w:t>
            </w:r>
          </w:p>
        </w:tc>
      </w:tr>
      <w:tr w:rsidR="006E3532" w:rsidRPr="00AD7EBC" w14:paraId="5A9958C0" w14:textId="77777777" w:rsidTr="00CF1701">
        <w:trPr>
          <w:trHeight w:hRule="exact" w:val="3691"/>
        </w:trPr>
        <w:tc>
          <w:tcPr>
            <w:tcW w:w="1596" w:type="dxa"/>
          </w:tcPr>
          <w:p w14:paraId="7ABF3C0C" w14:textId="77777777" w:rsidR="006E3532" w:rsidRPr="00AD7EBC" w:rsidRDefault="006E3532" w:rsidP="009B7C2B">
            <w:pPr>
              <w:pStyle w:val="TableParagraph"/>
              <w:spacing w:line="251" w:lineRule="exact"/>
              <w:ind w:right="126"/>
              <w:jc w:val="both"/>
              <w:rPr>
                <w:b/>
                <w:sz w:val="20"/>
                <w:szCs w:val="20"/>
                <w:lang w:val="en-GB"/>
              </w:rPr>
            </w:pPr>
            <w:r w:rsidRPr="00AD7EBC">
              <w:rPr>
                <w:b/>
                <w:sz w:val="20"/>
                <w:szCs w:val="20"/>
                <w:lang w:val="en-GB"/>
              </w:rPr>
              <w:t xml:space="preserve">Community: </w:t>
            </w:r>
          </w:p>
          <w:p w14:paraId="156F8B87" w14:textId="77777777" w:rsidR="006E3532" w:rsidRPr="00AD7EBC" w:rsidRDefault="006E3532" w:rsidP="00C807A2">
            <w:pPr>
              <w:pStyle w:val="TableParagraph"/>
              <w:spacing w:line="251" w:lineRule="exact"/>
              <w:ind w:right="126"/>
              <w:rPr>
                <w:sz w:val="20"/>
                <w:szCs w:val="20"/>
                <w:lang w:val="en-GB"/>
              </w:rPr>
            </w:pPr>
            <w:r w:rsidRPr="00AD7EBC">
              <w:rPr>
                <w:sz w:val="20"/>
                <w:szCs w:val="20"/>
                <w:lang w:val="en-GB"/>
              </w:rPr>
              <w:t>3.1 Proportion of parents who have changed their attitude positively towards gender equity</w:t>
            </w:r>
            <w:r w:rsidRPr="00AD7EBC" w:rsidDel="00F54961">
              <w:rPr>
                <w:sz w:val="20"/>
                <w:szCs w:val="20"/>
                <w:lang w:val="en-GB"/>
              </w:rPr>
              <w:t xml:space="preserve"> </w:t>
            </w:r>
            <w:r w:rsidRPr="00AD7EBC">
              <w:rPr>
                <w:sz w:val="20"/>
                <w:szCs w:val="20"/>
                <w:lang w:val="en-GB"/>
              </w:rPr>
              <w:t>changed their attitude positively towards gender equity</w:t>
            </w:r>
          </w:p>
        </w:tc>
        <w:tc>
          <w:tcPr>
            <w:tcW w:w="1701" w:type="dxa"/>
          </w:tcPr>
          <w:p w14:paraId="7348748F" w14:textId="77777777" w:rsidR="006E3532" w:rsidRPr="00AD7EBC" w:rsidRDefault="006E3532" w:rsidP="009B7C2B">
            <w:pPr>
              <w:pStyle w:val="TableParagraph"/>
              <w:spacing w:line="276" w:lineRule="auto"/>
              <w:ind w:right="199"/>
              <w:rPr>
                <w:sz w:val="20"/>
                <w:szCs w:val="20"/>
                <w:lang w:val="en-GB"/>
              </w:rPr>
            </w:pPr>
            <w:r w:rsidRPr="00AD7EBC">
              <w:rPr>
                <w:sz w:val="20"/>
                <w:szCs w:val="20"/>
                <w:lang w:val="en-GB"/>
              </w:rPr>
              <w:t>Household</w:t>
            </w:r>
          </w:p>
        </w:tc>
        <w:tc>
          <w:tcPr>
            <w:tcW w:w="1843" w:type="dxa"/>
          </w:tcPr>
          <w:p w14:paraId="74C9F589" w14:textId="77777777" w:rsidR="006E3532" w:rsidRPr="00AD7EBC" w:rsidRDefault="006E3532" w:rsidP="009B7C2B">
            <w:pPr>
              <w:pStyle w:val="TableParagraph"/>
              <w:spacing w:line="276" w:lineRule="auto"/>
              <w:ind w:left="141" w:right="89"/>
              <w:rPr>
                <w:sz w:val="20"/>
                <w:szCs w:val="20"/>
                <w:lang w:val="en-GB"/>
              </w:rPr>
            </w:pPr>
            <w:r w:rsidRPr="00AD7EBC">
              <w:rPr>
                <w:sz w:val="20"/>
                <w:szCs w:val="20"/>
                <w:lang w:val="en-GB"/>
              </w:rPr>
              <w:t>Household Survey</w:t>
            </w:r>
          </w:p>
          <w:p w14:paraId="29D1AA69" w14:textId="77777777" w:rsidR="000623E0" w:rsidRPr="00AD7EBC" w:rsidRDefault="000623E0" w:rsidP="009B7C2B">
            <w:pPr>
              <w:pStyle w:val="TableParagraph"/>
              <w:spacing w:line="276" w:lineRule="auto"/>
              <w:ind w:left="141" w:right="89"/>
              <w:rPr>
                <w:sz w:val="20"/>
                <w:szCs w:val="20"/>
                <w:lang w:val="en-GB"/>
              </w:rPr>
            </w:pPr>
          </w:p>
          <w:p w14:paraId="3DAC8CD5" w14:textId="2F590345" w:rsidR="000623E0" w:rsidRPr="00AD7EBC" w:rsidRDefault="000623E0" w:rsidP="009B7C2B">
            <w:pPr>
              <w:pStyle w:val="TableParagraph"/>
              <w:spacing w:line="276" w:lineRule="auto"/>
              <w:ind w:left="141" w:right="89"/>
              <w:rPr>
                <w:sz w:val="20"/>
                <w:szCs w:val="20"/>
                <w:lang w:val="en-GB"/>
              </w:rPr>
            </w:pPr>
            <w:r w:rsidRPr="00AD7EBC">
              <w:rPr>
                <w:sz w:val="20"/>
                <w:lang w:val="en-GB"/>
              </w:rPr>
              <w:t>(disaggregated by geography and sex)</w:t>
            </w:r>
          </w:p>
        </w:tc>
        <w:tc>
          <w:tcPr>
            <w:tcW w:w="3402" w:type="dxa"/>
          </w:tcPr>
          <w:p w14:paraId="1FA39D06" w14:textId="77777777" w:rsidR="006E3532" w:rsidRPr="00AD7EBC" w:rsidRDefault="006E3532" w:rsidP="00C807A2">
            <w:pPr>
              <w:ind w:left="142" w:right="142"/>
              <w:rPr>
                <w:sz w:val="20"/>
                <w:szCs w:val="20"/>
                <w:lang w:val="en-GB"/>
              </w:rPr>
            </w:pPr>
            <w:r w:rsidRPr="00AD7EBC">
              <w:rPr>
                <w:sz w:val="20"/>
                <w:szCs w:val="20"/>
                <w:lang w:val="en-GB"/>
              </w:rPr>
              <w:t>Attitudinal changes in parents will be monitored to further understand how ‘change happened’ what adjustments, actions and compromises were made to improve gender equity.</w:t>
            </w:r>
          </w:p>
        </w:tc>
        <w:tc>
          <w:tcPr>
            <w:tcW w:w="1559" w:type="dxa"/>
          </w:tcPr>
          <w:p w14:paraId="62CBBA42" w14:textId="77777777" w:rsidR="006E3532" w:rsidRPr="00AD7EBC" w:rsidRDefault="006E3532" w:rsidP="009B7C2B">
            <w:pPr>
              <w:ind w:left="141"/>
              <w:rPr>
                <w:sz w:val="20"/>
                <w:szCs w:val="20"/>
                <w:lang w:val="en-GB"/>
              </w:rPr>
            </w:pPr>
            <w:r w:rsidRPr="00AD7EBC">
              <w:rPr>
                <w:sz w:val="20"/>
                <w:szCs w:val="20"/>
                <w:lang w:val="en-GB"/>
              </w:rPr>
              <w:t xml:space="preserve">Baseline, </w:t>
            </w:r>
          </w:p>
          <w:p w14:paraId="3CB54FF7" w14:textId="77777777" w:rsidR="006E3532" w:rsidRPr="00AD7EBC" w:rsidRDefault="006E3532" w:rsidP="009B7C2B">
            <w:pPr>
              <w:ind w:left="141"/>
              <w:rPr>
                <w:sz w:val="20"/>
                <w:szCs w:val="20"/>
                <w:lang w:val="en-GB"/>
              </w:rPr>
            </w:pPr>
            <w:r w:rsidRPr="00AD7EBC">
              <w:rPr>
                <w:sz w:val="20"/>
                <w:szCs w:val="20"/>
                <w:lang w:val="en-GB"/>
              </w:rPr>
              <w:t xml:space="preserve">Midline and </w:t>
            </w:r>
          </w:p>
          <w:p w14:paraId="12C99658" w14:textId="77777777" w:rsidR="006E3532" w:rsidRPr="00AD7EBC" w:rsidRDefault="006E3532" w:rsidP="009B7C2B">
            <w:pPr>
              <w:ind w:left="141"/>
              <w:rPr>
                <w:sz w:val="20"/>
                <w:szCs w:val="20"/>
                <w:lang w:val="en-GB"/>
              </w:rPr>
            </w:pPr>
            <w:r w:rsidRPr="00AD7EBC">
              <w:rPr>
                <w:sz w:val="20"/>
                <w:szCs w:val="20"/>
                <w:lang w:val="en-GB"/>
              </w:rPr>
              <w:t>Endline</w:t>
            </w:r>
          </w:p>
        </w:tc>
      </w:tr>
      <w:tr w:rsidR="006E3532" w:rsidRPr="00AD7EBC" w14:paraId="77431C92" w14:textId="77777777" w:rsidTr="00CF1701">
        <w:trPr>
          <w:trHeight w:hRule="exact" w:val="2141"/>
        </w:trPr>
        <w:tc>
          <w:tcPr>
            <w:tcW w:w="1596" w:type="dxa"/>
          </w:tcPr>
          <w:p w14:paraId="47EEB316" w14:textId="77777777" w:rsidR="006E3532" w:rsidRPr="00AD7EBC" w:rsidRDefault="006E3532" w:rsidP="00C807A2">
            <w:pPr>
              <w:pStyle w:val="TableParagraph"/>
              <w:spacing w:line="251" w:lineRule="exact"/>
              <w:ind w:right="126"/>
              <w:rPr>
                <w:sz w:val="20"/>
                <w:szCs w:val="20"/>
                <w:lang w:val="en-GB"/>
              </w:rPr>
            </w:pPr>
            <w:r w:rsidRPr="00AD7EBC">
              <w:rPr>
                <w:sz w:val="20"/>
                <w:szCs w:val="20"/>
                <w:lang w:val="en-GB"/>
              </w:rPr>
              <w:t>3.2 # VSLA continuing after their cycle or spontaneously generated groups</w:t>
            </w:r>
          </w:p>
        </w:tc>
        <w:tc>
          <w:tcPr>
            <w:tcW w:w="1701" w:type="dxa"/>
          </w:tcPr>
          <w:p w14:paraId="2B593E11" w14:textId="77777777" w:rsidR="006E3532" w:rsidRPr="00AD7EBC" w:rsidRDefault="006E3532" w:rsidP="00C807A2">
            <w:pPr>
              <w:pStyle w:val="TableParagraph"/>
              <w:spacing w:line="276" w:lineRule="auto"/>
              <w:ind w:right="199"/>
              <w:rPr>
                <w:sz w:val="20"/>
                <w:szCs w:val="20"/>
                <w:lang w:val="en-GB"/>
              </w:rPr>
            </w:pPr>
            <w:r w:rsidRPr="00AD7EBC">
              <w:rPr>
                <w:sz w:val="20"/>
                <w:szCs w:val="20"/>
                <w:lang w:val="en-GB"/>
              </w:rPr>
              <w:t>Community</w:t>
            </w:r>
          </w:p>
        </w:tc>
        <w:tc>
          <w:tcPr>
            <w:tcW w:w="1843" w:type="dxa"/>
          </w:tcPr>
          <w:p w14:paraId="47CEB4CC" w14:textId="77777777" w:rsidR="006E3532" w:rsidRPr="00AD7EBC" w:rsidRDefault="006E3532" w:rsidP="00C807A2">
            <w:pPr>
              <w:pStyle w:val="TableParagraph"/>
              <w:spacing w:line="276" w:lineRule="auto"/>
              <w:ind w:left="141" w:right="89"/>
              <w:rPr>
                <w:sz w:val="20"/>
                <w:szCs w:val="20"/>
                <w:lang w:val="en-GB"/>
              </w:rPr>
            </w:pPr>
            <w:r w:rsidRPr="00AD7EBC">
              <w:rPr>
                <w:sz w:val="20"/>
                <w:szCs w:val="20"/>
                <w:lang w:val="en-GB"/>
              </w:rPr>
              <w:t>Community Monitoring</w:t>
            </w:r>
          </w:p>
          <w:p w14:paraId="7EF01240" w14:textId="77777777" w:rsidR="000623E0" w:rsidRPr="00AD7EBC" w:rsidRDefault="000623E0" w:rsidP="00C807A2">
            <w:pPr>
              <w:pStyle w:val="TableParagraph"/>
              <w:spacing w:line="276" w:lineRule="auto"/>
              <w:ind w:left="141" w:right="89"/>
              <w:rPr>
                <w:sz w:val="20"/>
                <w:szCs w:val="20"/>
                <w:lang w:val="en-GB"/>
              </w:rPr>
            </w:pPr>
          </w:p>
          <w:p w14:paraId="19AEDB4F" w14:textId="42E0C7EE" w:rsidR="000623E0" w:rsidRPr="00AD7EBC" w:rsidRDefault="000623E0" w:rsidP="00C807A2">
            <w:pPr>
              <w:pStyle w:val="TableParagraph"/>
              <w:spacing w:line="276" w:lineRule="auto"/>
              <w:ind w:left="141" w:right="89"/>
              <w:rPr>
                <w:sz w:val="20"/>
                <w:szCs w:val="20"/>
                <w:lang w:val="en-GB"/>
              </w:rPr>
            </w:pPr>
            <w:r w:rsidRPr="00AD7EBC">
              <w:rPr>
                <w:sz w:val="20"/>
                <w:lang w:val="en-GB"/>
              </w:rPr>
              <w:t>(disaggregated by geography)</w:t>
            </w:r>
          </w:p>
        </w:tc>
        <w:tc>
          <w:tcPr>
            <w:tcW w:w="3402" w:type="dxa"/>
          </w:tcPr>
          <w:p w14:paraId="642023F6" w14:textId="77777777" w:rsidR="006E3532" w:rsidRPr="00AD7EBC" w:rsidRDefault="006E3532" w:rsidP="00C807A2">
            <w:pPr>
              <w:ind w:left="142" w:right="142"/>
              <w:rPr>
                <w:sz w:val="20"/>
                <w:szCs w:val="20"/>
                <w:lang w:val="en-GB"/>
              </w:rPr>
            </w:pPr>
            <w:r w:rsidRPr="00AD7EBC">
              <w:rPr>
                <w:sz w:val="20"/>
                <w:szCs w:val="20"/>
                <w:lang w:val="en-GB"/>
              </w:rPr>
              <w:t>Understand what keeps VSLA groups functional as well as well as those that ‘fold-up’ what are the factors. Findings will be used to adapt the nature of support and coaching provided to these groups.</w:t>
            </w:r>
          </w:p>
        </w:tc>
        <w:tc>
          <w:tcPr>
            <w:tcW w:w="1559" w:type="dxa"/>
          </w:tcPr>
          <w:p w14:paraId="40109266" w14:textId="77777777" w:rsidR="006E3532" w:rsidRPr="00AD7EBC" w:rsidRDefault="006E3532" w:rsidP="00C807A2">
            <w:pPr>
              <w:ind w:left="141"/>
              <w:rPr>
                <w:sz w:val="20"/>
                <w:szCs w:val="20"/>
                <w:lang w:val="en-GB"/>
              </w:rPr>
            </w:pPr>
            <w:r w:rsidRPr="00AD7EBC">
              <w:rPr>
                <w:sz w:val="20"/>
                <w:szCs w:val="20"/>
                <w:lang w:val="en-GB"/>
              </w:rPr>
              <w:t xml:space="preserve">Baseline, </w:t>
            </w:r>
          </w:p>
          <w:p w14:paraId="56CD1A76" w14:textId="77777777" w:rsidR="006E3532" w:rsidRPr="00AD7EBC" w:rsidRDefault="006E3532" w:rsidP="00C807A2">
            <w:pPr>
              <w:ind w:left="141"/>
              <w:rPr>
                <w:sz w:val="20"/>
                <w:szCs w:val="20"/>
                <w:lang w:val="en-GB"/>
              </w:rPr>
            </w:pPr>
            <w:r w:rsidRPr="00AD7EBC">
              <w:rPr>
                <w:sz w:val="20"/>
                <w:szCs w:val="20"/>
                <w:lang w:val="en-GB"/>
              </w:rPr>
              <w:t xml:space="preserve">Midline and </w:t>
            </w:r>
          </w:p>
          <w:p w14:paraId="157CFEAE" w14:textId="77777777" w:rsidR="006E3532" w:rsidRPr="00AD7EBC" w:rsidRDefault="006E3532" w:rsidP="00C807A2">
            <w:pPr>
              <w:ind w:firstLine="141"/>
              <w:rPr>
                <w:sz w:val="20"/>
                <w:szCs w:val="20"/>
                <w:lang w:val="en-GB"/>
              </w:rPr>
            </w:pPr>
            <w:r w:rsidRPr="00AD7EBC">
              <w:rPr>
                <w:sz w:val="20"/>
                <w:szCs w:val="20"/>
                <w:lang w:val="en-GB"/>
              </w:rPr>
              <w:t>Endline</w:t>
            </w:r>
          </w:p>
        </w:tc>
      </w:tr>
      <w:tr w:rsidR="006E3532" w:rsidRPr="00AD7EBC" w14:paraId="47B98C9E" w14:textId="77777777" w:rsidTr="00CF1701">
        <w:trPr>
          <w:trHeight w:hRule="exact" w:val="2539"/>
        </w:trPr>
        <w:tc>
          <w:tcPr>
            <w:tcW w:w="1596" w:type="dxa"/>
          </w:tcPr>
          <w:p w14:paraId="64ABF231" w14:textId="77777777" w:rsidR="006E3532" w:rsidRPr="00AD7EBC" w:rsidRDefault="006E3532" w:rsidP="00C807A2">
            <w:pPr>
              <w:pStyle w:val="TableParagraph"/>
              <w:spacing w:line="251" w:lineRule="exact"/>
              <w:ind w:right="142"/>
              <w:rPr>
                <w:b/>
                <w:sz w:val="20"/>
                <w:szCs w:val="20"/>
                <w:lang w:val="en-GB"/>
              </w:rPr>
            </w:pPr>
            <w:r w:rsidRPr="00AD7EBC">
              <w:rPr>
                <w:b/>
                <w:sz w:val="20"/>
                <w:szCs w:val="20"/>
                <w:lang w:val="en-GB"/>
              </w:rPr>
              <w:t>School</w:t>
            </w:r>
          </w:p>
          <w:p w14:paraId="33772408" w14:textId="77777777" w:rsidR="006E3532" w:rsidRPr="00AD7EBC" w:rsidRDefault="006E3532" w:rsidP="00C807A2">
            <w:pPr>
              <w:pStyle w:val="TableParagraph"/>
              <w:spacing w:line="251" w:lineRule="exact"/>
              <w:ind w:right="126"/>
              <w:rPr>
                <w:sz w:val="20"/>
                <w:szCs w:val="20"/>
                <w:lang w:val="en-GB"/>
              </w:rPr>
            </w:pPr>
            <w:r w:rsidRPr="00AD7EBC">
              <w:rPr>
                <w:sz w:val="20"/>
                <w:szCs w:val="20"/>
                <w:lang w:val="en-GB"/>
              </w:rPr>
              <w:t>3.3 % of schools implementing Teacher Professional Development program / curriculum</w:t>
            </w:r>
          </w:p>
        </w:tc>
        <w:tc>
          <w:tcPr>
            <w:tcW w:w="1701" w:type="dxa"/>
          </w:tcPr>
          <w:p w14:paraId="7CAE25C3" w14:textId="77777777" w:rsidR="006E3532" w:rsidRPr="00AD7EBC" w:rsidRDefault="006E3532" w:rsidP="00C807A2">
            <w:pPr>
              <w:ind w:left="141"/>
              <w:rPr>
                <w:sz w:val="20"/>
                <w:szCs w:val="20"/>
                <w:lang w:val="en-GB"/>
              </w:rPr>
            </w:pPr>
            <w:r w:rsidRPr="00AD7EBC">
              <w:rPr>
                <w:sz w:val="20"/>
                <w:szCs w:val="20"/>
                <w:lang w:val="en-GB"/>
              </w:rPr>
              <w:t>School</w:t>
            </w:r>
          </w:p>
        </w:tc>
        <w:tc>
          <w:tcPr>
            <w:tcW w:w="1843" w:type="dxa"/>
          </w:tcPr>
          <w:p w14:paraId="23322889" w14:textId="77777777" w:rsidR="006E3532" w:rsidRPr="00AD7EBC" w:rsidRDefault="006E3532" w:rsidP="00C807A2">
            <w:pPr>
              <w:ind w:left="141"/>
              <w:rPr>
                <w:sz w:val="20"/>
                <w:szCs w:val="20"/>
                <w:lang w:val="en-GB"/>
              </w:rPr>
            </w:pPr>
            <w:r w:rsidRPr="00AD7EBC">
              <w:rPr>
                <w:sz w:val="20"/>
                <w:szCs w:val="20"/>
                <w:lang w:val="en-GB"/>
              </w:rPr>
              <w:t>School Monitoring Tool</w:t>
            </w:r>
          </w:p>
          <w:p w14:paraId="41D1F34B" w14:textId="77777777" w:rsidR="000623E0" w:rsidRPr="00AD7EBC" w:rsidRDefault="000623E0" w:rsidP="00C807A2">
            <w:pPr>
              <w:ind w:left="141"/>
              <w:rPr>
                <w:sz w:val="20"/>
                <w:szCs w:val="20"/>
                <w:lang w:val="en-GB"/>
              </w:rPr>
            </w:pPr>
          </w:p>
          <w:p w14:paraId="3FEBA865" w14:textId="64EC53E4" w:rsidR="000623E0" w:rsidRPr="00AD7EBC" w:rsidRDefault="000623E0" w:rsidP="00C807A2">
            <w:pPr>
              <w:ind w:left="141"/>
              <w:rPr>
                <w:sz w:val="20"/>
                <w:szCs w:val="20"/>
                <w:lang w:val="en-GB"/>
              </w:rPr>
            </w:pPr>
            <w:r w:rsidRPr="00AD7EBC">
              <w:rPr>
                <w:sz w:val="20"/>
                <w:lang w:val="en-GB"/>
              </w:rPr>
              <w:t>(disaggregated by geography)</w:t>
            </w:r>
          </w:p>
        </w:tc>
        <w:tc>
          <w:tcPr>
            <w:tcW w:w="3402" w:type="dxa"/>
          </w:tcPr>
          <w:p w14:paraId="4EA7FC96" w14:textId="77777777" w:rsidR="006E3532" w:rsidRPr="00AD7EBC" w:rsidRDefault="006E3532" w:rsidP="00C807A2">
            <w:pPr>
              <w:ind w:left="142" w:right="142"/>
              <w:rPr>
                <w:sz w:val="20"/>
                <w:szCs w:val="20"/>
                <w:lang w:val="en-GB"/>
              </w:rPr>
            </w:pPr>
            <w:r w:rsidRPr="00AD7EBC">
              <w:rPr>
                <w:sz w:val="20"/>
                <w:szCs w:val="20"/>
                <w:lang w:val="en-GB"/>
              </w:rPr>
              <w:t>Qualitative analysis will be used to explore challenges and benefits of the processes involved in implementing TPD. Common issues and divergent issues will be explored to understand and share positive dynamics and aspects of the approach.</w:t>
            </w:r>
          </w:p>
        </w:tc>
        <w:tc>
          <w:tcPr>
            <w:tcW w:w="1559" w:type="dxa"/>
          </w:tcPr>
          <w:p w14:paraId="1D91F4CA" w14:textId="77777777" w:rsidR="006E3532" w:rsidRPr="00AD7EBC" w:rsidRDefault="006E3532" w:rsidP="00C807A2">
            <w:pPr>
              <w:ind w:left="141"/>
              <w:rPr>
                <w:sz w:val="20"/>
                <w:szCs w:val="20"/>
                <w:lang w:val="en-GB"/>
              </w:rPr>
            </w:pPr>
            <w:r w:rsidRPr="00AD7EBC">
              <w:rPr>
                <w:sz w:val="20"/>
                <w:szCs w:val="20"/>
                <w:lang w:val="en-GB"/>
              </w:rPr>
              <w:t xml:space="preserve">Baseline, </w:t>
            </w:r>
          </w:p>
          <w:p w14:paraId="0368AB40" w14:textId="77777777" w:rsidR="006E3532" w:rsidRPr="00AD7EBC" w:rsidRDefault="006E3532" w:rsidP="00C807A2">
            <w:pPr>
              <w:ind w:left="141"/>
              <w:rPr>
                <w:sz w:val="20"/>
                <w:szCs w:val="20"/>
                <w:lang w:val="en-GB"/>
              </w:rPr>
            </w:pPr>
            <w:r w:rsidRPr="00AD7EBC">
              <w:rPr>
                <w:sz w:val="20"/>
                <w:szCs w:val="20"/>
                <w:lang w:val="en-GB"/>
              </w:rPr>
              <w:t xml:space="preserve">Midline and </w:t>
            </w:r>
          </w:p>
          <w:p w14:paraId="617E5CC3" w14:textId="77777777" w:rsidR="006E3532" w:rsidRPr="00AD7EBC" w:rsidRDefault="006E3532" w:rsidP="00C807A2">
            <w:pPr>
              <w:ind w:left="141"/>
              <w:rPr>
                <w:sz w:val="20"/>
                <w:szCs w:val="20"/>
                <w:lang w:val="en-GB"/>
              </w:rPr>
            </w:pPr>
            <w:r w:rsidRPr="00AD7EBC">
              <w:rPr>
                <w:sz w:val="20"/>
                <w:szCs w:val="20"/>
                <w:lang w:val="en-GB"/>
              </w:rPr>
              <w:t>Endline</w:t>
            </w:r>
          </w:p>
        </w:tc>
      </w:tr>
      <w:tr w:rsidR="006E3532" w:rsidRPr="00AD7EBC" w14:paraId="5C933640" w14:textId="77777777" w:rsidTr="00CF1701">
        <w:trPr>
          <w:trHeight w:hRule="exact" w:val="1994"/>
        </w:trPr>
        <w:tc>
          <w:tcPr>
            <w:tcW w:w="1596" w:type="dxa"/>
          </w:tcPr>
          <w:p w14:paraId="345452D4" w14:textId="77777777" w:rsidR="006E3532" w:rsidRPr="00AD7EBC" w:rsidRDefault="006E3532" w:rsidP="00C807A2">
            <w:pPr>
              <w:pStyle w:val="TableParagraph"/>
              <w:spacing w:line="251" w:lineRule="exact"/>
              <w:ind w:right="126"/>
              <w:rPr>
                <w:sz w:val="20"/>
                <w:szCs w:val="20"/>
                <w:lang w:val="en-GB"/>
              </w:rPr>
            </w:pPr>
            <w:r w:rsidRPr="00AD7EBC">
              <w:rPr>
                <w:sz w:val="20"/>
                <w:szCs w:val="20"/>
                <w:lang w:val="en-GB"/>
              </w:rPr>
              <w:t>3.4 Change in learning environment to become conflict sensitive and inclusive</w:t>
            </w:r>
          </w:p>
        </w:tc>
        <w:tc>
          <w:tcPr>
            <w:tcW w:w="1701" w:type="dxa"/>
          </w:tcPr>
          <w:p w14:paraId="21FA6928" w14:textId="77777777" w:rsidR="006E3532" w:rsidRPr="00AD7EBC" w:rsidRDefault="006E3532" w:rsidP="00C807A2">
            <w:pPr>
              <w:ind w:left="141"/>
              <w:rPr>
                <w:sz w:val="20"/>
                <w:szCs w:val="20"/>
                <w:lang w:val="en-GB"/>
              </w:rPr>
            </w:pPr>
            <w:r w:rsidRPr="00AD7EBC">
              <w:rPr>
                <w:sz w:val="20"/>
                <w:szCs w:val="20"/>
                <w:lang w:val="en-GB"/>
              </w:rPr>
              <w:t>School</w:t>
            </w:r>
          </w:p>
        </w:tc>
        <w:tc>
          <w:tcPr>
            <w:tcW w:w="1843" w:type="dxa"/>
          </w:tcPr>
          <w:p w14:paraId="1EA0EAB7" w14:textId="77777777" w:rsidR="006E3532" w:rsidRPr="00AD7EBC" w:rsidRDefault="006E3532" w:rsidP="00C807A2">
            <w:pPr>
              <w:ind w:left="141"/>
              <w:rPr>
                <w:sz w:val="20"/>
                <w:szCs w:val="20"/>
                <w:lang w:val="en-GB"/>
              </w:rPr>
            </w:pPr>
            <w:r w:rsidRPr="00AD7EBC">
              <w:rPr>
                <w:sz w:val="20"/>
                <w:szCs w:val="20"/>
                <w:lang w:val="en-GB"/>
              </w:rPr>
              <w:t>School Monitoring Tool – Focus Group Discussion</w:t>
            </w:r>
          </w:p>
        </w:tc>
        <w:tc>
          <w:tcPr>
            <w:tcW w:w="3402" w:type="dxa"/>
          </w:tcPr>
          <w:p w14:paraId="1E593763" w14:textId="788B5E1F" w:rsidR="006E3532" w:rsidRPr="00AD7EBC" w:rsidRDefault="006E3532" w:rsidP="00C807A2">
            <w:pPr>
              <w:ind w:left="142" w:right="142"/>
              <w:rPr>
                <w:sz w:val="20"/>
                <w:szCs w:val="20"/>
                <w:lang w:val="en-GB"/>
              </w:rPr>
            </w:pPr>
            <w:r w:rsidRPr="00AD7EBC">
              <w:rPr>
                <w:sz w:val="20"/>
                <w:szCs w:val="20"/>
                <w:lang w:val="en-GB"/>
              </w:rPr>
              <w:t>Improvements in le</w:t>
            </w:r>
            <w:r w:rsidR="00AD7EBC">
              <w:rPr>
                <w:sz w:val="20"/>
                <w:szCs w:val="20"/>
                <w:lang w:val="en-GB"/>
              </w:rPr>
              <w:t>arning will be further analys</w:t>
            </w:r>
            <w:r w:rsidRPr="00AD7EBC">
              <w:rPr>
                <w:sz w:val="20"/>
                <w:szCs w:val="20"/>
                <w:lang w:val="en-GB"/>
              </w:rPr>
              <w:t>ed to understand unique factors related to drivers of conflict as well as aspects of inclusiveness.</w:t>
            </w:r>
          </w:p>
        </w:tc>
        <w:tc>
          <w:tcPr>
            <w:tcW w:w="1559" w:type="dxa"/>
          </w:tcPr>
          <w:p w14:paraId="5FAEA0B0" w14:textId="77777777" w:rsidR="006E3532" w:rsidRPr="00AD7EBC" w:rsidRDefault="006E3532" w:rsidP="00C807A2">
            <w:pPr>
              <w:ind w:left="141"/>
              <w:rPr>
                <w:sz w:val="20"/>
                <w:szCs w:val="20"/>
                <w:lang w:val="en-GB"/>
              </w:rPr>
            </w:pPr>
            <w:r w:rsidRPr="00AD7EBC">
              <w:rPr>
                <w:sz w:val="20"/>
                <w:szCs w:val="20"/>
                <w:lang w:val="en-GB"/>
              </w:rPr>
              <w:t xml:space="preserve">Baseline, </w:t>
            </w:r>
          </w:p>
          <w:p w14:paraId="495763F7" w14:textId="77777777" w:rsidR="006E3532" w:rsidRPr="00AD7EBC" w:rsidRDefault="006E3532" w:rsidP="00C807A2">
            <w:pPr>
              <w:ind w:left="141"/>
              <w:rPr>
                <w:sz w:val="20"/>
                <w:szCs w:val="20"/>
                <w:lang w:val="en-GB"/>
              </w:rPr>
            </w:pPr>
            <w:r w:rsidRPr="00AD7EBC">
              <w:rPr>
                <w:sz w:val="20"/>
                <w:szCs w:val="20"/>
                <w:lang w:val="en-GB"/>
              </w:rPr>
              <w:t xml:space="preserve">Midline and </w:t>
            </w:r>
          </w:p>
          <w:p w14:paraId="38A2E761" w14:textId="77777777" w:rsidR="006E3532" w:rsidRPr="00AD7EBC" w:rsidRDefault="006E3532" w:rsidP="00C807A2">
            <w:pPr>
              <w:ind w:left="141"/>
              <w:rPr>
                <w:sz w:val="20"/>
                <w:szCs w:val="20"/>
                <w:lang w:val="en-GB"/>
              </w:rPr>
            </w:pPr>
            <w:r w:rsidRPr="00AD7EBC">
              <w:rPr>
                <w:sz w:val="20"/>
                <w:szCs w:val="20"/>
                <w:lang w:val="en-GB"/>
              </w:rPr>
              <w:t>Endline</w:t>
            </w:r>
          </w:p>
        </w:tc>
      </w:tr>
      <w:tr w:rsidR="006E3532" w:rsidRPr="00AD7EBC" w14:paraId="1F35863A" w14:textId="77777777" w:rsidTr="00CF1701">
        <w:trPr>
          <w:trHeight w:hRule="exact" w:val="2547"/>
        </w:trPr>
        <w:tc>
          <w:tcPr>
            <w:tcW w:w="1596" w:type="dxa"/>
          </w:tcPr>
          <w:p w14:paraId="16951011" w14:textId="77777777" w:rsidR="006E3532" w:rsidRPr="00AD7EBC" w:rsidRDefault="006E3532" w:rsidP="00C807A2">
            <w:pPr>
              <w:pStyle w:val="TableParagraph"/>
              <w:spacing w:line="251" w:lineRule="exact"/>
              <w:ind w:right="142"/>
              <w:rPr>
                <w:b/>
                <w:sz w:val="20"/>
                <w:szCs w:val="20"/>
                <w:lang w:val="en-GB"/>
              </w:rPr>
            </w:pPr>
            <w:r w:rsidRPr="00AD7EBC">
              <w:rPr>
                <w:b/>
                <w:sz w:val="20"/>
                <w:szCs w:val="20"/>
                <w:lang w:val="en-GB"/>
              </w:rPr>
              <w:lastRenderedPageBreak/>
              <w:t>System</w:t>
            </w:r>
          </w:p>
          <w:p w14:paraId="6F961558" w14:textId="5C78C190" w:rsidR="006E3532" w:rsidRPr="00AD7EBC" w:rsidRDefault="006E3532" w:rsidP="00C807A2">
            <w:pPr>
              <w:pStyle w:val="TableParagraph"/>
              <w:spacing w:line="251" w:lineRule="exact"/>
              <w:ind w:right="126"/>
              <w:rPr>
                <w:sz w:val="20"/>
                <w:szCs w:val="20"/>
                <w:lang w:val="en-GB"/>
              </w:rPr>
            </w:pPr>
            <w:r w:rsidRPr="00AD7EBC">
              <w:rPr>
                <w:sz w:val="20"/>
                <w:szCs w:val="20"/>
                <w:lang w:val="en-GB"/>
              </w:rPr>
              <w:t>3.5</w:t>
            </w:r>
            <w:r w:rsidR="00C807A2" w:rsidRPr="00AD7EBC">
              <w:rPr>
                <w:sz w:val="20"/>
                <w:szCs w:val="20"/>
                <w:lang w:val="en-GB"/>
              </w:rPr>
              <w:t>.</w:t>
            </w:r>
            <w:r w:rsidRPr="00AD7EBC">
              <w:rPr>
                <w:sz w:val="20"/>
                <w:szCs w:val="20"/>
                <w:lang w:val="en-GB"/>
              </w:rPr>
              <w:t xml:space="preserve"> % of CVA groups in target areas with increased engagement towards school fees transparency</w:t>
            </w:r>
          </w:p>
        </w:tc>
        <w:tc>
          <w:tcPr>
            <w:tcW w:w="1701" w:type="dxa"/>
          </w:tcPr>
          <w:p w14:paraId="6BBDC182" w14:textId="77777777" w:rsidR="006E3532" w:rsidRPr="00AD7EBC" w:rsidRDefault="006E3532" w:rsidP="00C807A2">
            <w:pPr>
              <w:ind w:left="141"/>
              <w:rPr>
                <w:sz w:val="20"/>
                <w:szCs w:val="20"/>
                <w:lang w:val="en-GB"/>
              </w:rPr>
            </w:pPr>
            <w:r w:rsidRPr="00AD7EBC">
              <w:rPr>
                <w:sz w:val="20"/>
                <w:szCs w:val="20"/>
                <w:lang w:val="en-GB"/>
              </w:rPr>
              <w:t>Community</w:t>
            </w:r>
          </w:p>
        </w:tc>
        <w:tc>
          <w:tcPr>
            <w:tcW w:w="1843" w:type="dxa"/>
          </w:tcPr>
          <w:p w14:paraId="3BE94759" w14:textId="77777777" w:rsidR="006E3532" w:rsidRPr="00AD7EBC" w:rsidRDefault="006E3532" w:rsidP="00C807A2">
            <w:pPr>
              <w:ind w:left="141"/>
              <w:rPr>
                <w:sz w:val="20"/>
                <w:szCs w:val="20"/>
                <w:lang w:val="en-GB"/>
              </w:rPr>
            </w:pPr>
            <w:r w:rsidRPr="00AD7EBC">
              <w:rPr>
                <w:sz w:val="20"/>
                <w:szCs w:val="20"/>
                <w:lang w:val="en-GB"/>
              </w:rPr>
              <w:t>Community Monitoring Tool</w:t>
            </w:r>
          </w:p>
          <w:p w14:paraId="2116D5A6" w14:textId="77777777" w:rsidR="00433A9C" w:rsidRPr="00AD7EBC" w:rsidRDefault="00433A9C" w:rsidP="00C807A2">
            <w:pPr>
              <w:ind w:left="141"/>
              <w:rPr>
                <w:sz w:val="20"/>
                <w:szCs w:val="20"/>
                <w:lang w:val="en-GB"/>
              </w:rPr>
            </w:pPr>
          </w:p>
          <w:p w14:paraId="69B591D5" w14:textId="6771B04E" w:rsidR="00433A9C" w:rsidRPr="00AD7EBC" w:rsidRDefault="00433A9C" w:rsidP="00C807A2">
            <w:pPr>
              <w:ind w:left="141"/>
              <w:rPr>
                <w:sz w:val="20"/>
                <w:szCs w:val="20"/>
                <w:lang w:val="en-GB"/>
              </w:rPr>
            </w:pPr>
            <w:r w:rsidRPr="00AD7EBC">
              <w:rPr>
                <w:sz w:val="20"/>
                <w:lang w:val="en-GB"/>
              </w:rPr>
              <w:t>(disaggregated by geography)</w:t>
            </w:r>
          </w:p>
        </w:tc>
        <w:tc>
          <w:tcPr>
            <w:tcW w:w="3402" w:type="dxa"/>
          </w:tcPr>
          <w:p w14:paraId="75A89116" w14:textId="77777777" w:rsidR="006E3532" w:rsidRPr="00AD7EBC" w:rsidRDefault="006E3532" w:rsidP="00C807A2">
            <w:pPr>
              <w:ind w:left="142" w:right="142"/>
              <w:rPr>
                <w:sz w:val="20"/>
                <w:szCs w:val="20"/>
                <w:lang w:val="en-GB"/>
              </w:rPr>
            </w:pPr>
            <w:r w:rsidRPr="00AD7EBC">
              <w:rPr>
                <w:sz w:val="20"/>
                <w:szCs w:val="20"/>
                <w:lang w:val="en-GB"/>
              </w:rPr>
              <w:t>Qualitative analysis will be done to understand level of engagement regarding school fees transparency in target schools.</w:t>
            </w:r>
          </w:p>
        </w:tc>
        <w:tc>
          <w:tcPr>
            <w:tcW w:w="1559" w:type="dxa"/>
          </w:tcPr>
          <w:p w14:paraId="5ED2EABB" w14:textId="77777777" w:rsidR="006E3532" w:rsidRPr="00AD7EBC" w:rsidRDefault="006E3532" w:rsidP="00C807A2">
            <w:pPr>
              <w:ind w:left="141"/>
              <w:rPr>
                <w:sz w:val="20"/>
                <w:szCs w:val="20"/>
                <w:lang w:val="en-GB"/>
              </w:rPr>
            </w:pPr>
            <w:r w:rsidRPr="00AD7EBC">
              <w:rPr>
                <w:sz w:val="20"/>
                <w:szCs w:val="20"/>
                <w:lang w:val="en-GB"/>
              </w:rPr>
              <w:t xml:space="preserve">Baseline, </w:t>
            </w:r>
          </w:p>
          <w:p w14:paraId="5C83FDF2" w14:textId="77777777" w:rsidR="006E3532" w:rsidRPr="00AD7EBC" w:rsidRDefault="006E3532" w:rsidP="00C807A2">
            <w:pPr>
              <w:ind w:left="141"/>
              <w:rPr>
                <w:sz w:val="20"/>
                <w:szCs w:val="20"/>
                <w:lang w:val="en-GB"/>
              </w:rPr>
            </w:pPr>
            <w:r w:rsidRPr="00AD7EBC">
              <w:rPr>
                <w:sz w:val="20"/>
                <w:szCs w:val="20"/>
                <w:lang w:val="en-GB"/>
              </w:rPr>
              <w:t xml:space="preserve">Midline and </w:t>
            </w:r>
          </w:p>
          <w:p w14:paraId="4EB209F9" w14:textId="77777777" w:rsidR="006E3532" w:rsidRPr="00AD7EBC" w:rsidRDefault="006E3532" w:rsidP="00C807A2">
            <w:pPr>
              <w:ind w:left="141"/>
              <w:rPr>
                <w:sz w:val="20"/>
                <w:szCs w:val="20"/>
                <w:lang w:val="en-GB"/>
              </w:rPr>
            </w:pPr>
            <w:r w:rsidRPr="00AD7EBC">
              <w:rPr>
                <w:sz w:val="20"/>
                <w:szCs w:val="20"/>
                <w:lang w:val="en-GB"/>
              </w:rPr>
              <w:t>Endline</w:t>
            </w:r>
          </w:p>
        </w:tc>
      </w:tr>
      <w:tr w:rsidR="006E3532" w:rsidRPr="00AD7EBC" w14:paraId="2C50E190" w14:textId="77777777" w:rsidTr="00CF1701">
        <w:trPr>
          <w:trHeight w:hRule="exact" w:val="1988"/>
        </w:trPr>
        <w:tc>
          <w:tcPr>
            <w:tcW w:w="1596" w:type="dxa"/>
          </w:tcPr>
          <w:p w14:paraId="636B20B5" w14:textId="77777777" w:rsidR="006E3532" w:rsidRPr="00AD7EBC" w:rsidRDefault="006E3532" w:rsidP="00C807A2">
            <w:pPr>
              <w:pStyle w:val="TableParagraph"/>
              <w:spacing w:line="251" w:lineRule="exact"/>
              <w:ind w:right="126"/>
              <w:rPr>
                <w:sz w:val="20"/>
                <w:szCs w:val="20"/>
                <w:lang w:val="en-GB"/>
              </w:rPr>
            </w:pPr>
            <w:r w:rsidRPr="00AD7EBC">
              <w:rPr>
                <w:sz w:val="20"/>
                <w:szCs w:val="20"/>
                <w:lang w:val="en-GB"/>
              </w:rPr>
              <w:t>3.6 Adoption and use of quality education monitoring tools by ministries</w:t>
            </w:r>
          </w:p>
        </w:tc>
        <w:tc>
          <w:tcPr>
            <w:tcW w:w="1701" w:type="dxa"/>
          </w:tcPr>
          <w:p w14:paraId="1FD29E17" w14:textId="77777777" w:rsidR="006E3532" w:rsidRPr="00AD7EBC" w:rsidRDefault="006E3532" w:rsidP="00C807A2">
            <w:pPr>
              <w:ind w:left="141"/>
              <w:rPr>
                <w:sz w:val="20"/>
                <w:szCs w:val="20"/>
                <w:lang w:val="en-GB"/>
              </w:rPr>
            </w:pPr>
            <w:r w:rsidRPr="00AD7EBC">
              <w:rPr>
                <w:sz w:val="20"/>
                <w:szCs w:val="20"/>
                <w:lang w:val="en-GB"/>
              </w:rPr>
              <w:t>District</w:t>
            </w:r>
          </w:p>
        </w:tc>
        <w:tc>
          <w:tcPr>
            <w:tcW w:w="1843" w:type="dxa"/>
          </w:tcPr>
          <w:p w14:paraId="6E07A621" w14:textId="77777777" w:rsidR="006E3532" w:rsidRPr="00AD7EBC" w:rsidRDefault="006E3532" w:rsidP="00C807A2">
            <w:pPr>
              <w:ind w:left="141"/>
              <w:rPr>
                <w:sz w:val="20"/>
                <w:szCs w:val="20"/>
                <w:lang w:val="en-GB"/>
              </w:rPr>
            </w:pPr>
            <w:r w:rsidRPr="00AD7EBC">
              <w:rPr>
                <w:sz w:val="20"/>
                <w:szCs w:val="20"/>
                <w:lang w:val="en-GB"/>
              </w:rPr>
              <w:t>District Monitoring – Key Informant Interviews</w:t>
            </w:r>
          </w:p>
        </w:tc>
        <w:tc>
          <w:tcPr>
            <w:tcW w:w="3402" w:type="dxa"/>
          </w:tcPr>
          <w:p w14:paraId="367D2EA9" w14:textId="77777777" w:rsidR="006E3532" w:rsidRPr="00AD7EBC" w:rsidRDefault="006E3532" w:rsidP="00C807A2">
            <w:pPr>
              <w:ind w:left="142" w:right="142"/>
              <w:rPr>
                <w:sz w:val="20"/>
                <w:szCs w:val="20"/>
                <w:lang w:val="en-GB"/>
              </w:rPr>
            </w:pPr>
            <w:r w:rsidRPr="00AD7EBC">
              <w:rPr>
                <w:sz w:val="20"/>
                <w:szCs w:val="20"/>
                <w:lang w:val="en-GB"/>
              </w:rPr>
              <w:t>Qualitative analysis will be used to further provide evidence of perceptions and views on use monitoring tools by Ministries. What added value is perceived from the use of these tools.</w:t>
            </w:r>
          </w:p>
        </w:tc>
        <w:tc>
          <w:tcPr>
            <w:tcW w:w="1559" w:type="dxa"/>
          </w:tcPr>
          <w:p w14:paraId="7B73C7CE" w14:textId="77777777" w:rsidR="006E3532" w:rsidRPr="00AD7EBC" w:rsidRDefault="006E3532" w:rsidP="00C807A2">
            <w:pPr>
              <w:ind w:left="141"/>
              <w:rPr>
                <w:sz w:val="20"/>
                <w:szCs w:val="20"/>
                <w:lang w:val="en-GB"/>
              </w:rPr>
            </w:pPr>
            <w:r w:rsidRPr="00AD7EBC">
              <w:rPr>
                <w:sz w:val="20"/>
                <w:szCs w:val="20"/>
                <w:lang w:val="en-GB"/>
              </w:rPr>
              <w:t xml:space="preserve">Baseline, </w:t>
            </w:r>
          </w:p>
          <w:p w14:paraId="23C535CE" w14:textId="77777777" w:rsidR="006E3532" w:rsidRPr="00AD7EBC" w:rsidRDefault="006E3532" w:rsidP="00C807A2">
            <w:pPr>
              <w:ind w:left="141"/>
              <w:rPr>
                <w:sz w:val="20"/>
                <w:szCs w:val="20"/>
                <w:lang w:val="en-GB"/>
              </w:rPr>
            </w:pPr>
            <w:r w:rsidRPr="00AD7EBC">
              <w:rPr>
                <w:sz w:val="20"/>
                <w:szCs w:val="20"/>
                <w:lang w:val="en-GB"/>
              </w:rPr>
              <w:t xml:space="preserve">Midline and </w:t>
            </w:r>
          </w:p>
          <w:p w14:paraId="5FADDF00" w14:textId="77777777" w:rsidR="006E3532" w:rsidRPr="00AD7EBC" w:rsidRDefault="006E3532" w:rsidP="00C807A2">
            <w:pPr>
              <w:ind w:left="141"/>
              <w:rPr>
                <w:sz w:val="20"/>
                <w:szCs w:val="20"/>
                <w:lang w:val="en-GB"/>
              </w:rPr>
            </w:pPr>
            <w:r w:rsidRPr="00AD7EBC">
              <w:rPr>
                <w:sz w:val="20"/>
                <w:szCs w:val="20"/>
                <w:lang w:val="en-GB"/>
              </w:rPr>
              <w:t>Endline</w:t>
            </w:r>
          </w:p>
        </w:tc>
      </w:tr>
    </w:tbl>
    <w:p w14:paraId="0098F359" w14:textId="5491B6B6" w:rsidR="006E3532" w:rsidRPr="00AD7EBC" w:rsidRDefault="006E3532" w:rsidP="007C7D0F">
      <w:pPr>
        <w:pStyle w:val="BodyText"/>
        <w:spacing w:before="11"/>
        <w:rPr>
          <w:i/>
          <w:sz w:val="28"/>
          <w:lang w:val="en-GB"/>
        </w:rPr>
      </w:pPr>
    </w:p>
    <w:p w14:paraId="751B3509" w14:textId="77777777" w:rsidR="006E3532" w:rsidRPr="00AD7EBC" w:rsidRDefault="006E3532" w:rsidP="007C7D0F">
      <w:pPr>
        <w:pStyle w:val="BodyText"/>
        <w:spacing w:before="11"/>
        <w:rPr>
          <w:i/>
          <w:sz w:val="28"/>
          <w:lang w:val="en-GB"/>
        </w:rPr>
      </w:pPr>
    </w:p>
    <w:p w14:paraId="493AD598" w14:textId="2FDF7352" w:rsidR="002046ED" w:rsidRPr="00AD7EBC" w:rsidRDefault="00903E25" w:rsidP="00AD7EBC">
      <w:pPr>
        <w:pStyle w:val="Heading3"/>
      </w:pPr>
      <w:r>
        <w:t xml:space="preserve">5.4 </w:t>
      </w:r>
      <w:r w:rsidR="007C7D0F" w:rsidRPr="00AD7EBC">
        <w:t xml:space="preserve">Ethical protocols </w:t>
      </w:r>
    </w:p>
    <w:p w14:paraId="3961FD00" w14:textId="387B9D10" w:rsidR="007C7D0F" w:rsidRPr="00671B66" w:rsidRDefault="00671B66" w:rsidP="00671B66">
      <w:pPr>
        <w:tabs>
          <w:tab w:val="left" w:pos="709"/>
        </w:tabs>
        <w:spacing w:before="72"/>
        <w:ind w:left="100"/>
        <w:jc w:val="both"/>
        <w:rPr>
          <w:b/>
          <w:lang w:val="en-GB"/>
        </w:rPr>
      </w:pPr>
      <w:r>
        <w:rPr>
          <w:color w:val="1F487C"/>
          <w:lang w:val="en-GB"/>
        </w:rPr>
        <w:t xml:space="preserve">a) </w:t>
      </w:r>
      <w:r w:rsidR="007C7D0F" w:rsidRPr="00671B66">
        <w:rPr>
          <w:color w:val="1F487C"/>
          <w:lang w:val="en-GB"/>
        </w:rPr>
        <w:t>Child</w:t>
      </w:r>
      <w:r w:rsidR="007C7D0F" w:rsidRPr="00671B66">
        <w:rPr>
          <w:color w:val="1F487C"/>
          <w:spacing w:val="-2"/>
          <w:lang w:val="en-GB"/>
        </w:rPr>
        <w:t xml:space="preserve"> </w:t>
      </w:r>
      <w:r w:rsidR="007C7D0F" w:rsidRPr="00671B66">
        <w:rPr>
          <w:color w:val="1F487C"/>
          <w:lang w:val="en-GB"/>
        </w:rPr>
        <w:t>protection</w:t>
      </w:r>
    </w:p>
    <w:p w14:paraId="7C56EB59" w14:textId="77777777" w:rsidR="00685817" w:rsidRPr="00AD7EBC" w:rsidRDefault="00685817" w:rsidP="007C7D0F">
      <w:pPr>
        <w:pStyle w:val="BodyText"/>
        <w:spacing w:before="40"/>
        <w:ind w:left="100" w:right="114"/>
        <w:jc w:val="both"/>
        <w:rPr>
          <w:lang w:val="en-GB"/>
        </w:rPr>
      </w:pPr>
    </w:p>
    <w:p w14:paraId="2D8FB024" w14:textId="77777777" w:rsidR="00685817" w:rsidRPr="00AD7EBC" w:rsidRDefault="00685817" w:rsidP="00685817">
      <w:pPr>
        <w:pStyle w:val="BodyText"/>
        <w:jc w:val="both"/>
        <w:rPr>
          <w:lang w:val="en-GB"/>
        </w:rPr>
      </w:pPr>
      <w:r w:rsidRPr="00AD7EBC">
        <w:rPr>
          <w:lang w:val="en-GB"/>
        </w:rPr>
        <w:t>Save the Children International (SCI) is committed to ensuring that all children with whom the organization works with, or even has contact with, are safeguarded to the maximum possible extent from child abuse and sexual exploitation. This commitment is implemented through the organization's Child Safeguarding Policy. It applies equally to all children irrespective of their gender, disability, ethnicity, sexuality, marital status, or religion.</w:t>
      </w:r>
    </w:p>
    <w:p w14:paraId="7C6523D3" w14:textId="77777777" w:rsidR="00685817" w:rsidRPr="00AD7EBC" w:rsidRDefault="00685817" w:rsidP="00685817">
      <w:pPr>
        <w:pStyle w:val="BodyText"/>
        <w:jc w:val="both"/>
        <w:rPr>
          <w:lang w:val="en-GB"/>
        </w:rPr>
      </w:pPr>
    </w:p>
    <w:p w14:paraId="4F1C522F" w14:textId="74DC7699" w:rsidR="00685817" w:rsidRPr="00AD7EBC" w:rsidRDefault="00685817" w:rsidP="00685817">
      <w:pPr>
        <w:pStyle w:val="BodyText"/>
        <w:jc w:val="both"/>
        <w:rPr>
          <w:lang w:val="en-GB"/>
        </w:rPr>
      </w:pPr>
      <w:r w:rsidRPr="00AD7EBC">
        <w:rPr>
          <w:lang w:val="en-GB"/>
        </w:rPr>
        <w:t>The project will use the internal Save the Children child safeguarding protocol at all stages to ensure that all research activities (incl</w:t>
      </w:r>
      <w:r w:rsidR="007341A6" w:rsidRPr="00AD7EBC">
        <w:rPr>
          <w:lang w:val="en-GB"/>
        </w:rPr>
        <w:t>uding evaluations and the operational</w:t>
      </w:r>
      <w:r w:rsidRPr="00AD7EBC">
        <w:rPr>
          <w:lang w:val="en-GB"/>
        </w:rPr>
        <w:t xml:space="preserve"> research) are safely conducted in regard to children. The Child Safeguarding protocol is made of a set of external and internal policies, procedures, and practices that we employ to ensure that Save the Children itself is a child-safe organization.  It aims at preventing and responding to cases of child abuse and exploitation associated with SCI staff and partner’s behavio</w:t>
      </w:r>
      <w:r w:rsidR="00AD7EBC">
        <w:rPr>
          <w:lang w:val="en-GB"/>
        </w:rPr>
        <w:t>u</w:t>
      </w:r>
      <w:r w:rsidRPr="00AD7EBC">
        <w:rPr>
          <w:lang w:val="en-GB"/>
        </w:rPr>
        <w:t>rs/attitudes and SCI activities.</w:t>
      </w:r>
    </w:p>
    <w:p w14:paraId="0C89AAB9" w14:textId="77777777" w:rsidR="00685817" w:rsidRPr="00AD7EBC" w:rsidRDefault="00685817" w:rsidP="00685817">
      <w:pPr>
        <w:pStyle w:val="BodyText"/>
        <w:jc w:val="both"/>
        <w:rPr>
          <w:lang w:val="en-GB"/>
        </w:rPr>
      </w:pPr>
    </w:p>
    <w:p w14:paraId="5933A0ED" w14:textId="2DAD0291" w:rsidR="00321CD1" w:rsidRPr="00321CD1" w:rsidRDefault="00321CD1" w:rsidP="00685817">
      <w:pPr>
        <w:pStyle w:val="BodyText"/>
        <w:jc w:val="both"/>
        <w:rPr>
          <w:b/>
          <w:lang w:val="en-GB"/>
        </w:rPr>
      </w:pPr>
      <w:r>
        <w:rPr>
          <w:b/>
          <w:lang w:val="en-GB"/>
        </w:rPr>
        <w:t>Safe recruitment</w:t>
      </w:r>
    </w:p>
    <w:p w14:paraId="18671FED" w14:textId="50D0620F" w:rsidR="00685817" w:rsidRDefault="00685817" w:rsidP="00685817">
      <w:pPr>
        <w:pStyle w:val="BodyText"/>
        <w:jc w:val="both"/>
        <w:rPr>
          <w:lang w:val="en-GB"/>
        </w:rPr>
      </w:pPr>
      <w:r w:rsidRPr="00AD7EBC">
        <w:rPr>
          <w:lang w:val="en-GB"/>
        </w:rPr>
        <w:t xml:space="preserve">Save the children will select and recruit </w:t>
      </w:r>
      <w:r w:rsidR="007341A6" w:rsidRPr="00AD7EBC">
        <w:rPr>
          <w:lang w:val="en-GB"/>
        </w:rPr>
        <w:t xml:space="preserve">the </w:t>
      </w:r>
      <w:r w:rsidRPr="00AD7EBC">
        <w:rPr>
          <w:lang w:val="en-GB"/>
        </w:rPr>
        <w:t xml:space="preserve">external evaluators and any sub-contractors who can comply to Save the Children’s commitment to child safeguarding by implementing checks and procedures to screen through any organization or individual who is considered not suitable to work with children due to past or current convictions, or harmful practices. Successful candidates will be made aware of the binding nature of these policies, procedures, and codes of conduct, and that they are applied equally to their personal and professional life. The agreement contract to be signed with the external evaluators will specifically include a separate agreement </w:t>
      </w:r>
      <w:r w:rsidRPr="00AD7EBC">
        <w:rPr>
          <w:lang w:val="en-GB"/>
        </w:rPr>
        <w:lastRenderedPageBreak/>
        <w:t xml:space="preserve">document on Child Safeguarding Policy, and it is expected that all evaluation protocols and tools will be child-friendly and gender sensitive. </w:t>
      </w:r>
    </w:p>
    <w:p w14:paraId="654EA7E6" w14:textId="158C0337" w:rsidR="00321CD1" w:rsidRDefault="00321CD1" w:rsidP="00685817">
      <w:pPr>
        <w:pStyle w:val="BodyText"/>
        <w:jc w:val="both"/>
        <w:rPr>
          <w:lang w:val="en-GB"/>
        </w:rPr>
      </w:pPr>
    </w:p>
    <w:p w14:paraId="37641498" w14:textId="650D4B4A" w:rsidR="00321CD1" w:rsidRPr="00CA23A6" w:rsidRDefault="00321CD1" w:rsidP="00685817">
      <w:pPr>
        <w:pStyle w:val="BodyText"/>
        <w:jc w:val="both"/>
        <w:rPr>
          <w:lang w:val="en-GB"/>
        </w:rPr>
      </w:pPr>
      <w:r w:rsidRPr="00AD7EBC">
        <w:rPr>
          <w:lang w:val="en-GB"/>
        </w:rPr>
        <w:t>Potential key r</w:t>
      </w:r>
      <w:r w:rsidRPr="00CA23A6">
        <w:rPr>
          <w:lang w:val="en-GB"/>
        </w:rPr>
        <w:t xml:space="preserve">isks that could emerge during the monitoring and evaluation activities are when personnel visit a child’s home and community, when there is one to one contact, or when the staff has been outsourced by the consultants and strict measures about child safeguarding have not been put in place. If checks and vetting are not carefully carried out, there is a risk of hiring personnel or sub-contractors who can be harmful to children, and damaging the relationship, trust and reputation that the organization has built over the years.  </w:t>
      </w:r>
    </w:p>
    <w:p w14:paraId="47407AB9" w14:textId="614852A2" w:rsidR="00685817" w:rsidRPr="00CA23A6" w:rsidRDefault="00685817" w:rsidP="00685817">
      <w:pPr>
        <w:pStyle w:val="BodyText"/>
        <w:jc w:val="both"/>
        <w:rPr>
          <w:lang w:val="en-GB"/>
        </w:rPr>
      </w:pPr>
    </w:p>
    <w:p w14:paraId="2E970883" w14:textId="0D103065" w:rsidR="00321CD1" w:rsidRPr="00CA23A6" w:rsidRDefault="00321CD1" w:rsidP="00685817">
      <w:pPr>
        <w:pStyle w:val="BodyText"/>
        <w:jc w:val="both"/>
        <w:rPr>
          <w:b/>
          <w:lang w:val="en-GB"/>
        </w:rPr>
      </w:pPr>
      <w:r w:rsidRPr="00CA23A6">
        <w:rPr>
          <w:b/>
          <w:lang w:val="en-GB"/>
        </w:rPr>
        <w:t xml:space="preserve">Education and training </w:t>
      </w:r>
    </w:p>
    <w:p w14:paraId="0FB0EAD2" w14:textId="61362BED" w:rsidR="00685817" w:rsidRPr="00CA23A6" w:rsidRDefault="00685817" w:rsidP="00685817">
      <w:pPr>
        <w:pStyle w:val="BodyText"/>
        <w:jc w:val="both"/>
        <w:rPr>
          <w:lang w:val="en-GB"/>
        </w:rPr>
      </w:pPr>
      <w:r w:rsidRPr="00CA23A6">
        <w:rPr>
          <w:lang w:val="en-GB"/>
        </w:rPr>
        <w:t xml:space="preserve">As part of the training for enumerators, Save the Children will ensure that a specific module on child safeguarding and related risks management is included. This module is designed to ensure that all contracted staff, especially enumerators and field supervisors, are aware and knowledgeable about child-friendly and safe programming and data collection procedures, safety prevention, reporting and response mechanisms that are in place during the research implementation. </w:t>
      </w:r>
    </w:p>
    <w:p w14:paraId="112D2514" w14:textId="77777777" w:rsidR="00685817" w:rsidRPr="00CA23A6" w:rsidRDefault="00685817" w:rsidP="00685817">
      <w:pPr>
        <w:pStyle w:val="BodyText"/>
        <w:jc w:val="both"/>
        <w:rPr>
          <w:lang w:val="en-GB"/>
        </w:rPr>
      </w:pPr>
    </w:p>
    <w:p w14:paraId="61C7E8E8" w14:textId="27706360" w:rsidR="007C7D0F" w:rsidRPr="00CA23A6" w:rsidRDefault="00321CD1" w:rsidP="007C7D0F">
      <w:pPr>
        <w:pStyle w:val="BodyText"/>
        <w:spacing w:before="9"/>
        <w:rPr>
          <w:b/>
          <w:lang w:val="en-GB"/>
        </w:rPr>
      </w:pPr>
      <w:r w:rsidRPr="00CA23A6">
        <w:rPr>
          <w:b/>
          <w:lang w:val="en-GB"/>
        </w:rPr>
        <w:t>Code of conduct</w:t>
      </w:r>
    </w:p>
    <w:p w14:paraId="1DA13105" w14:textId="383892A9" w:rsidR="00321CD1" w:rsidRPr="00CA23A6" w:rsidRDefault="00321CD1" w:rsidP="007C7D0F">
      <w:pPr>
        <w:pStyle w:val="BodyText"/>
        <w:spacing w:before="9"/>
        <w:rPr>
          <w:lang w:val="en-GB"/>
        </w:rPr>
      </w:pPr>
      <w:r w:rsidRPr="00CA23A6">
        <w:rPr>
          <w:lang w:val="en-GB"/>
        </w:rPr>
        <w:t xml:space="preserve">The external enumerator will have a written, comprehensive Child Protection Policy that includes a Code of Conduct that all staff, including temporary staff like enumerators, must review, sign and adhere to. </w:t>
      </w:r>
    </w:p>
    <w:p w14:paraId="6D5F3AFA" w14:textId="79668400" w:rsidR="00BA54C4" w:rsidRPr="00CA23A6" w:rsidRDefault="00BA54C4" w:rsidP="007C7D0F">
      <w:pPr>
        <w:pStyle w:val="BodyText"/>
        <w:spacing w:before="9"/>
        <w:rPr>
          <w:lang w:val="en-GB"/>
        </w:rPr>
      </w:pPr>
    </w:p>
    <w:p w14:paraId="6CE2E584" w14:textId="009EB039" w:rsidR="00BA54C4" w:rsidRPr="00CA23A6" w:rsidRDefault="00BA54C4" w:rsidP="007C7D0F">
      <w:pPr>
        <w:pStyle w:val="BodyText"/>
        <w:spacing w:before="9"/>
        <w:rPr>
          <w:b/>
          <w:lang w:val="en-GB"/>
        </w:rPr>
      </w:pPr>
      <w:r w:rsidRPr="00CA23A6">
        <w:rPr>
          <w:b/>
          <w:lang w:val="en-GB"/>
        </w:rPr>
        <w:t>Responding to child protection concerns</w:t>
      </w:r>
      <w:r w:rsidR="00A30019" w:rsidRPr="00CA23A6">
        <w:rPr>
          <w:b/>
          <w:lang w:val="en-GB"/>
        </w:rPr>
        <w:t xml:space="preserve"> / Reporting process</w:t>
      </w:r>
    </w:p>
    <w:p w14:paraId="45E33159" w14:textId="1A0D5356" w:rsidR="00321CD1" w:rsidRPr="00CA23A6" w:rsidRDefault="00BA54C4" w:rsidP="007C7D0F">
      <w:pPr>
        <w:pStyle w:val="BodyText"/>
        <w:spacing w:before="9"/>
        <w:rPr>
          <w:lang w:val="en-GB"/>
        </w:rPr>
      </w:pPr>
      <w:r w:rsidRPr="00CA23A6">
        <w:rPr>
          <w:lang w:val="en-GB"/>
        </w:rPr>
        <w:t xml:space="preserve">Any child protection or child safeguarding concerns brought to the attention of Save the Children or World Vision during the EE’s work will be dealt with in line with the </w:t>
      </w:r>
      <w:r w:rsidR="00A30019" w:rsidRPr="00CA23A6">
        <w:rPr>
          <w:lang w:val="en-GB"/>
        </w:rPr>
        <w:t xml:space="preserve">respective organisations’ policies (shared previously). </w:t>
      </w:r>
    </w:p>
    <w:p w14:paraId="0C42CC8F" w14:textId="62DB3BE5" w:rsidR="00A30019" w:rsidRPr="00CA23A6" w:rsidRDefault="00A30019" w:rsidP="007C7D0F">
      <w:pPr>
        <w:pStyle w:val="BodyText"/>
        <w:spacing w:before="9"/>
        <w:rPr>
          <w:lang w:val="en-GB"/>
        </w:rPr>
      </w:pPr>
    </w:p>
    <w:p w14:paraId="0F959B15" w14:textId="31EAEE44" w:rsidR="00A30019" w:rsidRPr="00CA23A6" w:rsidRDefault="00A30019" w:rsidP="007C7D0F">
      <w:pPr>
        <w:pStyle w:val="BodyText"/>
        <w:spacing w:before="9"/>
        <w:rPr>
          <w:b/>
          <w:lang w:val="en-GB"/>
        </w:rPr>
      </w:pPr>
      <w:r w:rsidRPr="00CA23A6">
        <w:rPr>
          <w:b/>
          <w:lang w:val="en-GB"/>
        </w:rPr>
        <w:t>Data protection and security</w:t>
      </w:r>
    </w:p>
    <w:p w14:paraId="07E255D4" w14:textId="6E84A4B5" w:rsidR="00A30019" w:rsidRPr="00CA23A6" w:rsidRDefault="00A30019" w:rsidP="00CA23A6">
      <w:r w:rsidRPr="00CA23A6">
        <w:rPr>
          <w:lang w:val="en-GB"/>
        </w:rPr>
        <w:t xml:space="preserve">Electronic data collection tools will be password-protected, and data transfers will be to </w:t>
      </w:r>
      <w:r w:rsidRPr="00CA23A6">
        <w:t xml:space="preserve">password-protected data storage services. Data analysis will be on password-protected and encrypted machines. Normal good practice regarding anonymization of data will be followed. Any audio, photos or video will be stored in line with the policy set out in the Child Protection self-audit. </w:t>
      </w:r>
      <w:r w:rsidR="00BB7497" w:rsidRPr="00CA23A6">
        <w:t xml:space="preserve">All data must be handled in line with Save the Children’s data protection policy; the policy details the laws we must </w:t>
      </w:r>
      <w:r w:rsidR="00531197" w:rsidRPr="00CA23A6">
        <w:t>comply to</w:t>
      </w:r>
      <w:r w:rsidR="00BB7497" w:rsidRPr="00CA23A6">
        <w:t xml:space="preserve">. </w:t>
      </w:r>
      <w:r w:rsidR="00C21EEA">
        <w:t xml:space="preserve">For more information, see sections 8.3 and 9. </w:t>
      </w:r>
    </w:p>
    <w:p w14:paraId="7DCCEF1B" w14:textId="4A0E49CC" w:rsidR="00321CD1" w:rsidRPr="00AD7EBC" w:rsidRDefault="00321CD1" w:rsidP="007C7D0F">
      <w:pPr>
        <w:pStyle w:val="BodyText"/>
        <w:spacing w:before="9"/>
        <w:rPr>
          <w:sz w:val="20"/>
          <w:lang w:val="en-GB"/>
        </w:rPr>
      </w:pPr>
    </w:p>
    <w:p w14:paraId="4D3EF0E9" w14:textId="77777777" w:rsidR="007C7D0F" w:rsidRPr="00AD7EBC" w:rsidRDefault="007C7D0F" w:rsidP="00671B66">
      <w:pPr>
        <w:pStyle w:val="ListParagraph"/>
        <w:numPr>
          <w:ilvl w:val="2"/>
          <w:numId w:val="10"/>
        </w:numPr>
        <w:tabs>
          <w:tab w:val="left" w:pos="821"/>
        </w:tabs>
        <w:ind w:left="253" w:hanging="253"/>
        <w:jc w:val="both"/>
        <w:rPr>
          <w:lang w:val="en-GB"/>
        </w:rPr>
      </w:pPr>
      <w:r w:rsidRPr="00AD7EBC">
        <w:rPr>
          <w:color w:val="1F487C"/>
          <w:lang w:val="en-GB"/>
        </w:rPr>
        <w:t>Ethics</w:t>
      </w:r>
    </w:p>
    <w:p w14:paraId="3FD8AE78" w14:textId="77777777" w:rsidR="007341A6" w:rsidRPr="00AD7EBC" w:rsidRDefault="007341A6" w:rsidP="007C7D0F">
      <w:pPr>
        <w:pStyle w:val="BodyText"/>
        <w:spacing w:before="37"/>
        <w:ind w:left="100" w:right="116"/>
        <w:jc w:val="both"/>
        <w:rPr>
          <w:i/>
          <w:sz w:val="20"/>
          <w:lang w:val="en-GB"/>
        </w:rPr>
      </w:pPr>
    </w:p>
    <w:p w14:paraId="76AA0F67" w14:textId="1D00245F" w:rsidR="007341A6" w:rsidRPr="00AD7EBC" w:rsidRDefault="007341A6" w:rsidP="007341A6">
      <w:pPr>
        <w:jc w:val="both"/>
        <w:rPr>
          <w:lang w:val="en-GB"/>
        </w:rPr>
      </w:pPr>
      <w:r w:rsidRPr="00AD7EBC">
        <w:rPr>
          <w:lang w:val="en-GB"/>
        </w:rPr>
        <w:t>Save the Children follows strict research ethics, ensuring that we operate through the use of agreed standards, and uphold principles of fairness and respect.  We acknowledge the balancing act that research must navigate: ensuring high quality research, whilst protecting and respecting key principles of ethics.  Drawing on the Save the Children ethics procedure, the Belmont Report, reviewing the ethical considerations that similar studies have faced, we have considered the practices outlined below. The research design and plan for the project will also be potentially subject to review and approval from Save the Children UK’s own research ethics advisory group.</w:t>
      </w:r>
      <w:r w:rsidR="00175BBC" w:rsidRPr="00AD7EBC">
        <w:rPr>
          <w:lang w:val="en-GB"/>
        </w:rPr>
        <w:t xml:space="preserve"> Céline </w:t>
      </w:r>
      <w:proofErr w:type="spellStart"/>
      <w:r w:rsidR="00175BBC" w:rsidRPr="00AD7EBC">
        <w:rPr>
          <w:lang w:val="en-GB"/>
        </w:rPr>
        <w:t>Sieu</w:t>
      </w:r>
      <w:proofErr w:type="spellEnd"/>
      <w:r w:rsidR="00175BBC" w:rsidRPr="00AD7EBC">
        <w:rPr>
          <w:lang w:val="en-GB"/>
        </w:rPr>
        <w:t xml:space="preserve">, as a M&amp;E, Accountability and Learning advisor with Save the Children UK, acts as the ethics lead for the project. </w:t>
      </w:r>
    </w:p>
    <w:p w14:paraId="751DE324" w14:textId="77777777" w:rsidR="007341A6" w:rsidRPr="00AD7EBC" w:rsidRDefault="007341A6" w:rsidP="007341A6">
      <w:pPr>
        <w:jc w:val="both"/>
        <w:rPr>
          <w:lang w:val="en-GB"/>
        </w:rPr>
      </w:pPr>
    </w:p>
    <w:p w14:paraId="169FDEAE" w14:textId="77777777" w:rsidR="007341A6" w:rsidRPr="00AD7EBC" w:rsidRDefault="007341A6" w:rsidP="007341A6">
      <w:pPr>
        <w:pStyle w:val="BodyText"/>
        <w:jc w:val="both"/>
        <w:rPr>
          <w:lang w:val="en-GB"/>
        </w:rPr>
      </w:pPr>
      <w:r w:rsidRPr="00AD7EBC">
        <w:rPr>
          <w:lang w:val="en-GB"/>
        </w:rPr>
        <w:t xml:space="preserve">The project is committed to taking great care when involving vulnerable individuals, especially children, in the research activities in a manner that is consistent with ethical principles that are </w:t>
      </w:r>
      <w:r w:rsidRPr="00AD7EBC">
        <w:rPr>
          <w:lang w:val="en-GB"/>
        </w:rPr>
        <w:lastRenderedPageBreak/>
        <w:t>widely accepted in the sector. This is to ensure that we are able to protect participants from exploitation and abuse, while building capacity and promote wellbeing. Special attention will be given to the fact that marginalized and most marginalized children participate in the study. All field staff will be sensitized to, and must commit to adhering to Save the Children’s Child Safeguarding Policy and ethical principles, which include the following:</w:t>
      </w:r>
    </w:p>
    <w:p w14:paraId="0E2E83C5" w14:textId="77777777" w:rsidR="007341A6" w:rsidRPr="00AD7EBC" w:rsidRDefault="007341A6" w:rsidP="007341A6">
      <w:pPr>
        <w:jc w:val="both"/>
        <w:rPr>
          <w:lang w:val="en-GB"/>
        </w:rPr>
      </w:pPr>
    </w:p>
    <w:p w14:paraId="2981C5C7" w14:textId="77777777" w:rsidR="007341A6" w:rsidRPr="00AD7EBC" w:rsidRDefault="007341A6" w:rsidP="007341A6">
      <w:pPr>
        <w:jc w:val="both"/>
        <w:rPr>
          <w:lang w:val="en-GB"/>
        </w:rPr>
      </w:pPr>
      <w:r w:rsidRPr="00AD7EBC">
        <w:rPr>
          <w:b/>
          <w:lang w:val="en-GB"/>
        </w:rPr>
        <w:t xml:space="preserve">Free and informed consent </w:t>
      </w:r>
      <w:r w:rsidRPr="00AD7EBC">
        <w:rPr>
          <w:lang w:val="en-GB"/>
        </w:rPr>
        <w:t xml:space="preserve">– all members of the treatment and control group must provide informed consent.  Not only from parents but also from children, from an early an age as possible.  </w:t>
      </w:r>
    </w:p>
    <w:p w14:paraId="728D3962" w14:textId="77777777" w:rsidR="007341A6" w:rsidRPr="00AD7EBC" w:rsidRDefault="007341A6" w:rsidP="007341A6">
      <w:pPr>
        <w:jc w:val="both"/>
        <w:rPr>
          <w:lang w:val="en-GB"/>
        </w:rPr>
      </w:pPr>
    </w:p>
    <w:p w14:paraId="2EDF597E" w14:textId="77777777" w:rsidR="007341A6" w:rsidRPr="00AD7EBC" w:rsidRDefault="007341A6" w:rsidP="007341A6">
      <w:pPr>
        <w:jc w:val="both"/>
        <w:rPr>
          <w:lang w:val="en-GB"/>
        </w:rPr>
      </w:pPr>
      <w:r w:rsidRPr="00AD7EBC">
        <w:rPr>
          <w:b/>
          <w:lang w:val="en-GB"/>
        </w:rPr>
        <w:t>Confidentiality and anonymity</w:t>
      </w:r>
      <w:r w:rsidRPr="00AD7EBC">
        <w:rPr>
          <w:lang w:val="en-GB"/>
        </w:rPr>
        <w:t xml:space="preserve"> – Save the Children will work with our research partners to ensure that all data is held securely, is confidential and is anonymized.  Enumerators will be made aware of the importance of confidentiality and anonymity.  Participants will be briefed that we will protect anonymity in all instances unless we feel that the child is in danger or at risk and then we will implement our safeguarding policy.  If the safeguarding policy is initiated, then it may be necessary to waive the participant’s concerned right to anonymity in order to protect the child in question.</w:t>
      </w:r>
    </w:p>
    <w:p w14:paraId="4978F809" w14:textId="77777777" w:rsidR="007341A6" w:rsidRPr="00AD7EBC" w:rsidRDefault="007341A6" w:rsidP="007341A6">
      <w:pPr>
        <w:jc w:val="both"/>
        <w:rPr>
          <w:lang w:val="en-GB"/>
        </w:rPr>
      </w:pPr>
    </w:p>
    <w:p w14:paraId="40D05320" w14:textId="77777777" w:rsidR="007341A6" w:rsidRPr="00AD7EBC" w:rsidRDefault="007341A6" w:rsidP="007341A6">
      <w:pPr>
        <w:tabs>
          <w:tab w:val="left" w:pos="220"/>
          <w:tab w:val="left" w:pos="720"/>
        </w:tabs>
        <w:autoSpaceDE w:val="0"/>
        <w:autoSpaceDN w:val="0"/>
        <w:adjustRightInd w:val="0"/>
        <w:spacing w:after="240"/>
        <w:jc w:val="both"/>
        <w:rPr>
          <w:lang w:val="en-GB"/>
        </w:rPr>
      </w:pPr>
      <w:r w:rsidRPr="00AD7EBC">
        <w:rPr>
          <w:b/>
          <w:lang w:val="en-GB"/>
        </w:rPr>
        <w:t>Transparency in research</w:t>
      </w:r>
      <w:r w:rsidRPr="00AD7EBC">
        <w:rPr>
          <w:lang w:val="en-GB"/>
        </w:rPr>
        <w:t xml:space="preserve"> - Understanding that research is ‘two-way’</w:t>
      </w:r>
      <w:r w:rsidRPr="00AD7EBC">
        <w:rPr>
          <w:rStyle w:val="FootnoteReference"/>
          <w:lang w:val="en-GB"/>
        </w:rPr>
        <w:footnoteReference w:id="8"/>
      </w:r>
      <w:r w:rsidRPr="00AD7EBC">
        <w:rPr>
          <w:lang w:val="en-GB"/>
        </w:rPr>
        <w:t>.  Communities should know what their collective data is. This helps the community to feel a sense of ownership and involvement over the data collection process, and it has been shown that greater two-way feedback processes result in lower attrition rates from programmes. Communities should also have the opportunity to input back to Save the Children through our accountability mechanisms, which enable us to hear concerns and react appropriately to them.</w:t>
      </w:r>
    </w:p>
    <w:p w14:paraId="1311D502" w14:textId="77777777" w:rsidR="007341A6" w:rsidRPr="00AD7EBC" w:rsidRDefault="007341A6" w:rsidP="007341A6">
      <w:pPr>
        <w:jc w:val="both"/>
        <w:rPr>
          <w:lang w:val="en-GB"/>
        </w:rPr>
      </w:pPr>
      <w:r w:rsidRPr="00AD7EBC">
        <w:rPr>
          <w:b/>
          <w:lang w:val="en-GB"/>
        </w:rPr>
        <w:t>Safeguarding children through awareness, prevention, reporting and responding</w:t>
      </w:r>
      <w:r w:rsidRPr="00AD7EBC">
        <w:rPr>
          <w:rStyle w:val="FootnoteReference"/>
          <w:lang w:val="en-GB"/>
        </w:rPr>
        <w:footnoteReference w:id="9"/>
      </w:r>
      <w:r w:rsidRPr="00AD7EBC">
        <w:rPr>
          <w:lang w:val="en-GB"/>
        </w:rPr>
        <w:t xml:space="preserve"> - All enumerators will be trained in the Child Safeguarding policy of Save the Children and provided with the necessary contact details to call if this policy needs to be initiated.  In addition, researchers in contact with children will be trained in how to work with children, how to behave respectfully, how to put the child at ease, and how to identify signs of children at risk.  </w:t>
      </w:r>
    </w:p>
    <w:p w14:paraId="2E257429" w14:textId="77777777" w:rsidR="007341A6" w:rsidRPr="00AD7EBC" w:rsidRDefault="007341A6" w:rsidP="007341A6">
      <w:pPr>
        <w:jc w:val="both"/>
        <w:rPr>
          <w:lang w:val="en-GB"/>
        </w:rPr>
      </w:pPr>
    </w:p>
    <w:p w14:paraId="6DE618D7" w14:textId="77777777" w:rsidR="007341A6" w:rsidRPr="00AD7EBC" w:rsidRDefault="007341A6" w:rsidP="007341A6">
      <w:pPr>
        <w:tabs>
          <w:tab w:val="left" w:pos="220"/>
          <w:tab w:val="left" w:pos="720"/>
        </w:tabs>
        <w:autoSpaceDE w:val="0"/>
        <w:autoSpaceDN w:val="0"/>
        <w:adjustRightInd w:val="0"/>
        <w:spacing w:after="240"/>
        <w:jc w:val="both"/>
        <w:rPr>
          <w:lang w:val="en-GB"/>
        </w:rPr>
      </w:pPr>
      <w:r w:rsidRPr="00AD7EBC">
        <w:rPr>
          <w:b/>
          <w:lang w:val="en-GB"/>
        </w:rPr>
        <w:t xml:space="preserve">Working </w:t>
      </w:r>
      <w:r w:rsidRPr="00A5365A">
        <w:rPr>
          <w:b/>
          <w:lang w:val="en-GB"/>
        </w:rPr>
        <w:t>with local researchers</w:t>
      </w:r>
      <w:r w:rsidRPr="00AD7EBC">
        <w:rPr>
          <w:lang w:val="en-GB"/>
        </w:rPr>
        <w:t xml:space="preserve"> – We work with local data collectors who speak the local language and avoid using translators which can build suspicion, can lead to translation errors and misunderstanding, and can complicate power dynamics.  </w:t>
      </w:r>
    </w:p>
    <w:p w14:paraId="2F53E90B" w14:textId="622798A3" w:rsidR="007341A6" w:rsidRPr="00042021" w:rsidRDefault="00042021" w:rsidP="00042021">
      <w:pPr>
        <w:pStyle w:val="ListParagraph"/>
        <w:tabs>
          <w:tab w:val="left" w:pos="821"/>
        </w:tabs>
        <w:ind w:left="0" w:firstLine="0"/>
        <w:jc w:val="both"/>
        <w:rPr>
          <w:color w:val="1F487C"/>
          <w:lang w:val="en-GB"/>
        </w:rPr>
      </w:pPr>
      <w:r>
        <w:rPr>
          <w:color w:val="1F487C"/>
          <w:lang w:val="en-GB"/>
        </w:rPr>
        <w:t xml:space="preserve">c) </w:t>
      </w:r>
      <w:r w:rsidR="007341A6" w:rsidRPr="00042021">
        <w:rPr>
          <w:color w:val="1F487C"/>
          <w:lang w:val="en-GB"/>
        </w:rPr>
        <w:t>Reliability and Validity</w:t>
      </w:r>
    </w:p>
    <w:p w14:paraId="41200511" w14:textId="77777777" w:rsidR="007341A6" w:rsidRPr="00AD7EBC" w:rsidRDefault="007341A6" w:rsidP="007341A6">
      <w:pPr>
        <w:tabs>
          <w:tab w:val="left" w:pos="821"/>
        </w:tabs>
        <w:jc w:val="both"/>
        <w:rPr>
          <w:b/>
          <w:color w:val="595959" w:themeColor="text1" w:themeTint="A6"/>
          <w:lang w:val="en-GB"/>
        </w:rPr>
      </w:pPr>
    </w:p>
    <w:p w14:paraId="046F2E41" w14:textId="77777777" w:rsidR="007341A6" w:rsidRPr="00AD7EBC" w:rsidRDefault="007341A6" w:rsidP="00CA23A6">
      <w:pPr>
        <w:tabs>
          <w:tab w:val="left" w:pos="821"/>
        </w:tabs>
        <w:jc w:val="both"/>
        <w:rPr>
          <w:lang w:val="en-GB"/>
        </w:rPr>
      </w:pPr>
      <w:r w:rsidRPr="00AD7EBC">
        <w:rPr>
          <w:lang w:val="en-GB"/>
        </w:rPr>
        <w:t>In order for the research data to be of value and of use, they must be both reliable and valid. Reliability refers to the repeatability of findings: any significant results must be more than a one-off finding and be inherently repeatable. Validity refers to the credibility or believability of the research, and there are two aspects of validity: a) Internal validity - the instruments or procedures used in the research measured what they were supposed to measure; b) External validity - the results can be generalized beyond the immediate study</w:t>
      </w:r>
      <w:r w:rsidR="00256303" w:rsidRPr="00AD7EBC">
        <w:rPr>
          <w:lang w:val="en-GB"/>
        </w:rPr>
        <w:t>,</w:t>
      </w:r>
      <w:r w:rsidRPr="00AD7EBC">
        <w:rPr>
          <w:lang w:val="en-GB"/>
        </w:rPr>
        <w:t xml:space="preserve"> and </w:t>
      </w:r>
      <w:r w:rsidR="00256303" w:rsidRPr="00AD7EBC">
        <w:rPr>
          <w:lang w:val="en-GB"/>
        </w:rPr>
        <w:t>also be applied</w:t>
      </w:r>
      <w:r w:rsidRPr="00AD7EBC">
        <w:rPr>
          <w:lang w:val="en-GB"/>
        </w:rPr>
        <w:t xml:space="preserve"> to people beyond the sample in the study. To achieve both reliability and validity of the evaluation findings, the EE will be recommended to follow these activities:</w:t>
      </w:r>
    </w:p>
    <w:p w14:paraId="384E1542" w14:textId="77777777" w:rsidR="007341A6" w:rsidRPr="00AD7EBC" w:rsidRDefault="00256303" w:rsidP="007341A6">
      <w:pPr>
        <w:pStyle w:val="ListParagraph"/>
        <w:numPr>
          <w:ilvl w:val="0"/>
          <w:numId w:val="19"/>
        </w:numPr>
        <w:tabs>
          <w:tab w:val="left" w:pos="821"/>
        </w:tabs>
        <w:jc w:val="both"/>
        <w:rPr>
          <w:lang w:val="en-GB"/>
        </w:rPr>
      </w:pPr>
      <w:r w:rsidRPr="00AD7EBC">
        <w:rPr>
          <w:lang w:val="en-GB"/>
        </w:rPr>
        <w:t>be fully</w:t>
      </w:r>
      <w:r w:rsidR="007341A6" w:rsidRPr="00AD7EBC">
        <w:rPr>
          <w:lang w:val="en-GB"/>
        </w:rPr>
        <w:t xml:space="preserve"> transparent and </w:t>
      </w:r>
      <w:r w:rsidRPr="00AD7EBC">
        <w:rPr>
          <w:lang w:val="en-GB"/>
        </w:rPr>
        <w:t xml:space="preserve">have a </w:t>
      </w:r>
      <w:r w:rsidR="007341A6" w:rsidRPr="00AD7EBC">
        <w:rPr>
          <w:lang w:val="en-GB"/>
        </w:rPr>
        <w:t>systematic approach to data collection from various sources.</w:t>
      </w:r>
    </w:p>
    <w:p w14:paraId="26924DCF" w14:textId="77777777" w:rsidR="007341A6" w:rsidRPr="00AD7EBC" w:rsidRDefault="007341A6" w:rsidP="007341A6">
      <w:pPr>
        <w:pStyle w:val="ListParagraph"/>
        <w:numPr>
          <w:ilvl w:val="0"/>
          <w:numId w:val="19"/>
        </w:numPr>
        <w:tabs>
          <w:tab w:val="left" w:pos="821"/>
        </w:tabs>
        <w:jc w:val="both"/>
        <w:rPr>
          <w:lang w:val="en-GB"/>
        </w:rPr>
      </w:pPr>
      <w:r w:rsidRPr="00AD7EBC">
        <w:rPr>
          <w:lang w:val="en-GB"/>
        </w:rPr>
        <w:lastRenderedPageBreak/>
        <w:t>maintain an audit trail, documenting clearly the flow and processing of the data.</w:t>
      </w:r>
    </w:p>
    <w:p w14:paraId="55BFC6F4" w14:textId="77777777" w:rsidR="007341A6" w:rsidRPr="00AD7EBC" w:rsidRDefault="007341A6" w:rsidP="007341A6">
      <w:pPr>
        <w:pStyle w:val="ListParagraph"/>
        <w:numPr>
          <w:ilvl w:val="0"/>
          <w:numId w:val="19"/>
        </w:numPr>
        <w:tabs>
          <w:tab w:val="left" w:pos="821"/>
        </w:tabs>
        <w:jc w:val="both"/>
        <w:rPr>
          <w:lang w:val="en-GB"/>
        </w:rPr>
      </w:pPr>
      <w:r w:rsidRPr="00AD7EBC">
        <w:rPr>
          <w:lang w:val="en-GB"/>
        </w:rPr>
        <w:t>peer checking to ensure the approach is reliable – asking additional team members to draw the data using the prescribed approach to verify the findings</w:t>
      </w:r>
    </w:p>
    <w:p w14:paraId="394066CB" w14:textId="77777777" w:rsidR="007341A6" w:rsidRPr="00AD7EBC" w:rsidRDefault="007341A6" w:rsidP="00CA23A6">
      <w:pPr>
        <w:pStyle w:val="BodyText"/>
        <w:spacing w:before="37"/>
        <w:ind w:right="116"/>
        <w:jc w:val="both"/>
        <w:rPr>
          <w:sz w:val="20"/>
          <w:lang w:val="en-GB"/>
        </w:rPr>
      </w:pPr>
      <w:r w:rsidRPr="00AD7EBC">
        <w:rPr>
          <w:lang w:val="en-GB"/>
        </w:rPr>
        <w:t>demonstrate validity by potentially hold a focus group with members of the project team, who can reach a consensus on whether the research data represents what it is supposed to.</w:t>
      </w:r>
    </w:p>
    <w:p w14:paraId="46ACDBDC" w14:textId="79617824" w:rsidR="007C7D0F" w:rsidRPr="00AD7EBC" w:rsidRDefault="007C7D0F" w:rsidP="00CA23A6">
      <w:pPr>
        <w:widowControl/>
        <w:spacing w:after="160" w:line="259" w:lineRule="auto"/>
        <w:rPr>
          <w:sz w:val="20"/>
          <w:lang w:val="en-GB"/>
        </w:rPr>
      </w:pPr>
    </w:p>
    <w:p w14:paraId="0856B7AC" w14:textId="7E643549" w:rsidR="007C7D0F" w:rsidRPr="00AD7EBC" w:rsidRDefault="007C7D0F" w:rsidP="00C21EEA">
      <w:pPr>
        <w:pStyle w:val="Heading2"/>
        <w:rPr>
          <w:sz w:val="18"/>
        </w:rPr>
      </w:pPr>
      <w:bookmarkStart w:id="7" w:name="_Toc506203080"/>
      <w:r w:rsidRPr="00AD7EBC">
        <w:t>Sampling framework</w:t>
      </w:r>
      <w:bookmarkEnd w:id="7"/>
    </w:p>
    <w:p w14:paraId="27C3CE41" w14:textId="493A2430" w:rsidR="006523A5" w:rsidRPr="00A927BC" w:rsidRDefault="007C7D0F" w:rsidP="00CA23A6">
      <w:pPr>
        <w:pStyle w:val="ListParagraph"/>
        <w:numPr>
          <w:ilvl w:val="1"/>
          <w:numId w:val="9"/>
        </w:numPr>
        <w:tabs>
          <w:tab w:val="left" w:pos="473"/>
        </w:tabs>
        <w:ind w:left="372"/>
        <w:jc w:val="both"/>
        <w:rPr>
          <w:lang w:val="en-GB"/>
        </w:rPr>
      </w:pPr>
      <w:r w:rsidRPr="00A927BC">
        <w:rPr>
          <w:color w:val="1F487C"/>
          <w:lang w:val="en-GB"/>
        </w:rPr>
        <w:t xml:space="preserve">Target groups </w:t>
      </w:r>
    </w:p>
    <w:p w14:paraId="185680FD" w14:textId="77777777" w:rsidR="00F845D4" w:rsidRPr="00AD7EBC" w:rsidRDefault="00F845D4" w:rsidP="00F845D4">
      <w:pPr>
        <w:tabs>
          <w:tab w:val="left" w:pos="821"/>
        </w:tabs>
        <w:spacing w:before="37" w:line="273" w:lineRule="auto"/>
        <w:ind w:right="415"/>
        <w:jc w:val="both"/>
        <w:rPr>
          <w:i/>
          <w:sz w:val="20"/>
          <w:lang w:val="en-GB"/>
        </w:rPr>
      </w:pPr>
    </w:p>
    <w:p w14:paraId="7250ADAA" w14:textId="77777777" w:rsidR="00AD7EBC" w:rsidRDefault="00AD7EBC" w:rsidP="005E64BF">
      <w:pPr>
        <w:widowControl/>
        <w:spacing w:after="200"/>
        <w:contextualSpacing/>
        <w:jc w:val="both"/>
        <w:rPr>
          <w:lang w:val="en-GB"/>
        </w:rPr>
      </w:pPr>
      <w:r>
        <w:rPr>
          <w:lang w:val="en-GB"/>
        </w:rPr>
        <w:t>We will be disaggregating our beneficiaries into the following groups</w:t>
      </w:r>
      <w:r w:rsidR="005E64BF" w:rsidRPr="00AD7EBC">
        <w:rPr>
          <w:lang w:val="en-GB"/>
        </w:rPr>
        <w:t xml:space="preserve">. </w:t>
      </w:r>
      <w:r>
        <w:rPr>
          <w:lang w:val="en-GB"/>
        </w:rPr>
        <w:t>Exact data does not exist. W</w:t>
      </w:r>
      <w:r w:rsidR="005E64BF" w:rsidRPr="00AD7EBC">
        <w:rPr>
          <w:lang w:val="en-GB"/>
        </w:rPr>
        <w:t>e have used estimations based on the proportions (of girls) of types of populations</w:t>
      </w:r>
      <w:r>
        <w:rPr>
          <w:lang w:val="en-GB"/>
        </w:rPr>
        <w:t>. T</w:t>
      </w:r>
      <w:r w:rsidR="005E64BF" w:rsidRPr="00AD7EBC">
        <w:rPr>
          <w:lang w:val="en-GB"/>
        </w:rPr>
        <w:t>he baseline will further detail these percentages</w:t>
      </w:r>
      <w:r>
        <w:rPr>
          <w:lang w:val="en-GB"/>
        </w:rPr>
        <w:t>.</w:t>
      </w:r>
    </w:p>
    <w:p w14:paraId="42ABFD16" w14:textId="7DD1BD1B" w:rsidR="005E64BF" w:rsidRPr="00AD7EBC" w:rsidRDefault="00AD7EBC" w:rsidP="005E64BF">
      <w:pPr>
        <w:widowControl/>
        <w:spacing w:after="200"/>
        <w:contextualSpacing/>
        <w:jc w:val="both"/>
        <w:rPr>
          <w:lang w:val="en-GB"/>
        </w:rPr>
      </w:pPr>
      <w:r>
        <w:rPr>
          <w:lang w:val="en-GB"/>
        </w:rPr>
        <w:t xml:space="preserve"> </w:t>
      </w:r>
    </w:p>
    <w:p w14:paraId="122139E5" w14:textId="73E18A54" w:rsidR="00AD7EBC" w:rsidRDefault="00AD7EBC" w:rsidP="00042021">
      <w:pPr>
        <w:widowControl/>
        <w:tabs>
          <w:tab w:val="left" w:pos="284"/>
        </w:tabs>
        <w:spacing w:after="200"/>
        <w:contextualSpacing/>
        <w:jc w:val="both"/>
        <w:rPr>
          <w:lang w:val="en-GB"/>
        </w:rPr>
      </w:pPr>
      <w:r>
        <w:rPr>
          <w:lang w:val="en-GB"/>
        </w:rPr>
        <w:t>•</w:t>
      </w:r>
      <w:r>
        <w:rPr>
          <w:lang w:val="en-GB"/>
        </w:rPr>
        <w:tab/>
      </w:r>
      <w:r w:rsidR="00910C5C">
        <w:rPr>
          <w:lang w:val="en-GB"/>
        </w:rPr>
        <w:t>living in conflict-affected setting (</w:t>
      </w:r>
      <w:r w:rsidR="00910C5C" w:rsidRPr="00910C5C">
        <w:rPr>
          <w:i/>
          <w:lang w:val="en-GB"/>
        </w:rPr>
        <w:t>dat</w:t>
      </w:r>
      <w:r w:rsidR="00910C5C">
        <w:rPr>
          <w:i/>
          <w:lang w:val="en-GB"/>
        </w:rPr>
        <w:t>a being collecting in February data collection exercise</w:t>
      </w:r>
      <w:r w:rsidR="00910C5C">
        <w:rPr>
          <w:lang w:val="en-GB"/>
        </w:rPr>
        <w:t>)</w:t>
      </w:r>
    </w:p>
    <w:p w14:paraId="34088418" w14:textId="77777777" w:rsidR="00910C5C" w:rsidRPr="00AD7EBC" w:rsidRDefault="00910C5C" w:rsidP="00042021">
      <w:pPr>
        <w:widowControl/>
        <w:tabs>
          <w:tab w:val="left" w:pos="284"/>
        </w:tabs>
        <w:spacing w:after="200"/>
        <w:contextualSpacing/>
        <w:jc w:val="both"/>
        <w:rPr>
          <w:lang w:val="en-GB"/>
        </w:rPr>
      </w:pPr>
      <w:r>
        <w:rPr>
          <w:lang w:val="en-GB"/>
        </w:rPr>
        <w:t>•</w:t>
      </w:r>
      <w:r>
        <w:rPr>
          <w:lang w:val="en-GB"/>
        </w:rPr>
        <w:tab/>
        <w:t>g</w:t>
      </w:r>
      <w:r w:rsidRPr="00AD7EBC">
        <w:rPr>
          <w:lang w:val="en-GB"/>
        </w:rPr>
        <w:t>irls married or with children under 18 (25%)</w:t>
      </w:r>
    </w:p>
    <w:p w14:paraId="5B1907A3" w14:textId="36DCA9B8" w:rsidR="005E64BF" w:rsidRPr="00AD7EBC" w:rsidRDefault="00910C5C" w:rsidP="00042021">
      <w:pPr>
        <w:widowControl/>
        <w:tabs>
          <w:tab w:val="left" w:pos="284"/>
        </w:tabs>
        <w:spacing w:after="200"/>
        <w:contextualSpacing/>
        <w:jc w:val="both"/>
        <w:rPr>
          <w:lang w:val="en-GB"/>
        </w:rPr>
      </w:pPr>
      <w:r>
        <w:rPr>
          <w:lang w:val="en-GB"/>
        </w:rPr>
        <w:t>•</w:t>
      </w:r>
      <w:r>
        <w:rPr>
          <w:lang w:val="en-GB"/>
        </w:rPr>
        <w:tab/>
      </w:r>
      <w:r w:rsidR="00AD7EBC">
        <w:rPr>
          <w:lang w:val="en-GB"/>
        </w:rPr>
        <w:t>r</w:t>
      </w:r>
      <w:r w:rsidR="005E64BF" w:rsidRPr="00AD7EBC">
        <w:rPr>
          <w:lang w:val="en-GB"/>
        </w:rPr>
        <w:t>emote or rural locations (80%)</w:t>
      </w:r>
    </w:p>
    <w:p w14:paraId="3BF7BD9C" w14:textId="203D12CB" w:rsidR="005E64BF" w:rsidRPr="00AD7EBC" w:rsidRDefault="005E64BF" w:rsidP="00042021">
      <w:pPr>
        <w:widowControl/>
        <w:tabs>
          <w:tab w:val="left" w:pos="284"/>
        </w:tabs>
        <w:spacing w:after="200"/>
        <w:contextualSpacing/>
        <w:jc w:val="both"/>
        <w:rPr>
          <w:lang w:val="en-GB"/>
        </w:rPr>
      </w:pPr>
      <w:r w:rsidRPr="00AD7EBC">
        <w:rPr>
          <w:lang w:val="en-GB"/>
        </w:rPr>
        <w:t>•</w:t>
      </w:r>
      <w:r w:rsidRPr="00AD7EBC">
        <w:rPr>
          <w:lang w:val="en-GB"/>
        </w:rPr>
        <w:tab/>
        <w:t>extremely poor (66%)</w:t>
      </w:r>
    </w:p>
    <w:p w14:paraId="2A31DA4C" w14:textId="0673A1BB" w:rsidR="005E64BF" w:rsidRPr="00AD7EBC" w:rsidRDefault="005E64BF" w:rsidP="00042021">
      <w:pPr>
        <w:widowControl/>
        <w:tabs>
          <w:tab w:val="left" w:pos="284"/>
        </w:tabs>
        <w:spacing w:after="200"/>
        <w:contextualSpacing/>
        <w:jc w:val="both"/>
        <w:rPr>
          <w:lang w:val="en-GB"/>
        </w:rPr>
      </w:pPr>
      <w:r w:rsidRPr="00AD7EBC">
        <w:rPr>
          <w:lang w:val="en-GB"/>
        </w:rPr>
        <w:t>•</w:t>
      </w:r>
      <w:r w:rsidR="004572D2" w:rsidRPr="00AD7EBC">
        <w:rPr>
          <w:lang w:val="en-GB"/>
        </w:rPr>
        <w:tab/>
        <w:t>engaged in child labour worst forms</w:t>
      </w:r>
      <w:r w:rsidR="00AD7EBC">
        <w:rPr>
          <w:lang w:val="en-GB"/>
        </w:rPr>
        <w:t xml:space="preserve"> </w:t>
      </w:r>
      <w:r w:rsidR="004572D2" w:rsidRPr="00AD7EBC">
        <w:rPr>
          <w:lang w:val="en-GB"/>
        </w:rPr>
        <w:t>(17</w:t>
      </w:r>
      <w:r w:rsidR="0005386A" w:rsidRPr="00AD7EBC">
        <w:rPr>
          <w:lang w:val="en-GB"/>
        </w:rPr>
        <w:t>%)</w:t>
      </w:r>
    </w:p>
    <w:p w14:paraId="36337C38" w14:textId="17B86073" w:rsidR="005E64BF" w:rsidRPr="00AD7EBC" w:rsidRDefault="0005386A" w:rsidP="00042021">
      <w:pPr>
        <w:widowControl/>
        <w:tabs>
          <w:tab w:val="left" w:pos="284"/>
        </w:tabs>
        <w:spacing w:after="200"/>
        <w:contextualSpacing/>
        <w:jc w:val="both"/>
        <w:rPr>
          <w:lang w:val="en-GB"/>
        </w:rPr>
      </w:pPr>
      <w:r w:rsidRPr="00AD7EBC">
        <w:rPr>
          <w:lang w:val="en-GB"/>
        </w:rPr>
        <w:t>•</w:t>
      </w:r>
      <w:r w:rsidRPr="00AD7EBC">
        <w:rPr>
          <w:lang w:val="en-GB"/>
        </w:rPr>
        <w:tab/>
        <w:t>disabled (no data</w:t>
      </w:r>
      <w:r w:rsidR="005E64BF" w:rsidRPr="00AD7EBC">
        <w:rPr>
          <w:lang w:val="en-GB"/>
        </w:rPr>
        <w:t>)</w:t>
      </w:r>
    </w:p>
    <w:p w14:paraId="70314742" w14:textId="45757DE3" w:rsidR="005E64BF" w:rsidRPr="00AD7EBC" w:rsidRDefault="005E64BF" w:rsidP="00042021">
      <w:pPr>
        <w:widowControl/>
        <w:tabs>
          <w:tab w:val="left" w:pos="284"/>
        </w:tabs>
        <w:spacing w:after="200"/>
        <w:contextualSpacing/>
        <w:jc w:val="both"/>
        <w:rPr>
          <w:lang w:val="en-GB"/>
        </w:rPr>
      </w:pPr>
      <w:r w:rsidRPr="00AD7EBC">
        <w:rPr>
          <w:lang w:val="en-GB"/>
        </w:rPr>
        <w:t>•</w:t>
      </w:r>
      <w:r w:rsidRPr="00AD7EBC">
        <w:rPr>
          <w:lang w:val="en-GB"/>
        </w:rPr>
        <w:tab/>
        <w:t>don’t speak language of inst</w:t>
      </w:r>
      <w:r w:rsidR="0005386A" w:rsidRPr="00AD7EBC">
        <w:rPr>
          <w:lang w:val="en-GB"/>
        </w:rPr>
        <w:t>ruction (at entry to school) (92</w:t>
      </w:r>
      <w:r w:rsidRPr="00AD7EBC">
        <w:rPr>
          <w:lang w:val="en-GB"/>
        </w:rPr>
        <w:t>%)</w:t>
      </w:r>
    </w:p>
    <w:p w14:paraId="47A35D1D" w14:textId="1D102747" w:rsidR="005E64BF" w:rsidRPr="00AD7EBC" w:rsidRDefault="005E64BF" w:rsidP="005E64BF">
      <w:pPr>
        <w:widowControl/>
        <w:spacing w:after="200"/>
        <w:contextualSpacing/>
        <w:jc w:val="both"/>
        <w:rPr>
          <w:lang w:val="en-GB"/>
        </w:rPr>
      </w:pPr>
    </w:p>
    <w:p w14:paraId="61380E7B" w14:textId="6ABE486F" w:rsidR="005E64BF" w:rsidRPr="00AD7EBC" w:rsidRDefault="005E64BF" w:rsidP="005E64BF">
      <w:pPr>
        <w:widowControl/>
        <w:spacing w:after="200"/>
        <w:contextualSpacing/>
        <w:jc w:val="both"/>
        <w:rPr>
          <w:lang w:val="en-GB"/>
        </w:rPr>
      </w:pPr>
      <w:r w:rsidRPr="00AD7EBC">
        <w:rPr>
          <w:lang w:val="en-GB"/>
        </w:rPr>
        <w:t>As a co</w:t>
      </w:r>
      <w:r w:rsidR="0005386A" w:rsidRPr="00AD7EBC">
        <w:rPr>
          <w:lang w:val="en-GB"/>
        </w:rPr>
        <w:t xml:space="preserve">ntinuation of </w:t>
      </w:r>
      <w:r w:rsidR="00910C5C">
        <w:rPr>
          <w:lang w:val="en-GB"/>
        </w:rPr>
        <w:t>Vas-y-fille</w:t>
      </w:r>
      <w:r w:rsidR="0005386A" w:rsidRPr="00AD7EBC">
        <w:rPr>
          <w:lang w:val="en-GB"/>
        </w:rPr>
        <w:t>, REALISE</w:t>
      </w:r>
      <w:r w:rsidRPr="00AD7EBC">
        <w:rPr>
          <w:lang w:val="en-GB"/>
        </w:rPr>
        <w:t xml:space="preserve"> works with the same beneficiaries from the previous project, who have already been identified as marginalized, and even most marginalized for some of the girls As the girls have grown over the years of </w:t>
      </w:r>
      <w:r w:rsidR="00910C5C">
        <w:rPr>
          <w:lang w:val="en-GB"/>
        </w:rPr>
        <w:t>Vas-y-fille</w:t>
      </w:r>
      <w:r w:rsidRPr="00AD7EBC">
        <w:rPr>
          <w:lang w:val="en-GB"/>
        </w:rPr>
        <w:t xml:space="preserve">, the youngest of </w:t>
      </w:r>
      <w:r w:rsidR="00910C5C">
        <w:rPr>
          <w:lang w:val="en-GB"/>
        </w:rPr>
        <w:t>Vas-y-fille</w:t>
      </w:r>
      <w:r w:rsidRPr="00AD7EBC">
        <w:rPr>
          <w:lang w:val="en-GB"/>
        </w:rPr>
        <w:t xml:space="preserve"> beneficiaries are in Grade 4, which is why </w:t>
      </w:r>
      <w:r w:rsidR="0005386A" w:rsidRPr="00AD7EBC">
        <w:rPr>
          <w:lang w:val="en-GB"/>
        </w:rPr>
        <w:t>REALISE</w:t>
      </w:r>
      <w:r w:rsidRPr="00AD7EBC">
        <w:rPr>
          <w:lang w:val="en-GB"/>
        </w:rPr>
        <w:t xml:space="preserve"> is mainly working with girls between Grade 4</w:t>
      </w:r>
      <w:r w:rsidR="0005386A" w:rsidRPr="00AD7EBC">
        <w:rPr>
          <w:lang w:val="en-GB"/>
        </w:rPr>
        <w:t xml:space="preserve"> and Grade 9</w:t>
      </w:r>
      <w:r w:rsidRPr="00AD7EBC">
        <w:rPr>
          <w:lang w:val="en-GB"/>
        </w:rPr>
        <w:t xml:space="preserve"> in this new Transition window, with an</w:t>
      </w:r>
      <w:r w:rsidR="0005386A" w:rsidRPr="00AD7EBC">
        <w:rPr>
          <w:lang w:val="en-GB"/>
        </w:rPr>
        <w:t xml:space="preserve"> emphasis in Grade 5-7</w:t>
      </w:r>
      <w:r w:rsidRPr="00AD7EBC">
        <w:rPr>
          <w:lang w:val="en-GB"/>
        </w:rPr>
        <w:t>, as students take a national exam</w:t>
      </w:r>
      <w:r w:rsidR="0005386A" w:rsidRPr="00AD7EBC">
        <w:rPr>
          <w:lang w:val="en-GB"/>
        </w:rPr>
        <w:t>s in grade 6</w:t>
      </w:r>
      <w:r w:rsidRPr="00AD7EBC">
        <w:rPr>
          <w:lang w:val="en-GB"/>
        </w:rPr>
        <w:t xml:space="preserve"> to test their skills before they are allowed to move to </w:t>
      </w:r>
      <w:r w:rsidR="0005386A" w:rsidRPr="00AD7EBC">
        <w:rPr>
          <w:lang w:val="en-GB"/>
        </w:rPr>
        <w:t>secondary school.</w:t>
      </w:r>
    </w:p>
    <w:p w14:paraId="3E906292" w14:textId="77777777" w:rsidR="005E64BF" w:rsidRPr="00AD7EBC" w:rsidRDefault="005E64BF" w:rsidP="005E64BF">
      <w:pPr>
        <w:widowControl/>
        <w:spacing w:after="200"/>
        <w:contextualSpacing/>
        <w:jc w:val="both"/>
        <w:rPr>
          <w:lang w:val="en-GB"/>
        </w:rPr>
      </w:pPr>
    </w:p>
    <w:p w14:paraId="4422455E" w14:textId="29C27F16" w:rsidR="005E64BF" w:rsidRPr="00AD7EBC" w:rsidRDefault="005E64BF" w:rsidP="005E64BF">
      <w:pPr>
        <w:widowControl/>
        <w:spacing w:after="200"/>
        <w:contextualSpacing/>
        <w:jc w:val="both"/>
        <w:rPr>
          <w:lang w:val="en-GB"/>
        </w:rPr>
      </w:pPr>
      <w:r w:rsidRPr="00AD7EBC">
        <w:rPr>
          <w:lang w:val="en-GB"/>
        </w:rPr>
        <w:t>To select a sample from the treatment group, the project will select a representative sample size (see section d. below for power calculations and sample size) of girls who</w:t>
      </w:r>
      <w:r w:rsidR="004572D2" w:rsidRPr="00AD7EBC">
        <w:rPr>
          <w:lang w:val="en-GB"/>
        </w:rPr>
        <w:t xml:space="preserve"> are in Grade 4 up until Grade 9</w:t>
      </w:r>
      <w:r w:rsidRPr="00AD7EBC">
        <w:rPr>
          <w:lang w:val="en-GB"/>
        </w:rPr>
        <w:t xml:space="preserve"> who have been going to a treatment school. As mentioned above, </w:t>
      </w:r>
      <w:r w:rsidR="004572D2" w:rsidRPr="00AD7EBC">
        <w:rPr>
          <w:lang w:val="en-GB"/>
        </w:rPr>
        <w:t>REALISE</w:t>
      </w:r>
      <w:r w:rsidRPr="00AD7EBC">
        <w:rPr>
          <w:lang w:val="en-GB"/>
        </w:rPr>
        <w:t xml:space="preserve"> works with the same beneficiaries as </w:t>
      </w:r>
      <w:r w:rsidR="00910C5C">
        <w:rPr>
          <w:lang w:val="en-GB"/>
        </w:rPr>
        <w:t>Vas-y-fille</w:t>
      </w:r>
      <w:r w:rsidRPr="00AD7EBC">
        <w:rPr>
          <w:lang w:val="en-GB"/>
        </w:rPr>
        <w:t>, therefore, the sampling will be done specifically among these beneficiaries who go to our treatment schools. As a quasi-experimental design, the randomization will mainly be done at school level, which means the evaluation will most likely follow a clustered sampling approach, with schools being selected as a starting point, before moving to the communities by following the sampled girls from the sampled schools. Once a control group has been selected (by the external evaluators), a similar sampling approach will be applied to the control group to ensure that the comparison girls will display similar characteristics as the treatment girls, apart from receiving interventions from the project. All the schools included in the list of schools fo</w:t>
      </w:r>
      <w:r w:rsidR="004572D2" w:rsidRPr="00AD7EBC">
        <w:rPr>
          <w:lang w:val="en-GB"/>
        </w:rPr>
        <w:t>r sampling will receive a similar</w:t>
      </w:r>
      <w:r w:rsidRPr="00AD7EBC">
        <w:rPr>
          <w:lang w:val="en-GB"/>
        </w:rPr>
        <w:t xml:space="preserve"> range of interventions, therefore they will be representative of the range of project interventions.</w:t>
      </w:r>
    </w:p>
    <w:p w14:paraId="4205DFAD" w14:textId="77777777" w:rsidR="006523A5" w:rsidRPr="00AD7EBC" w:rsidRDefault="006523A5" w:rsidP="006523A5">
      <w:pPr>
        <w:tabs>
          <w:tab w:val="left" w:pos="471"/>
        </w:tabs>
        <w:spacing w:line="276" w:lineRule="auto"/>
        <w:ind w:right="535"/>
        <w:rPr>
          <w:sz w:val="25"/>
          <w:lang w:val="en-GB"/>
        </w:rPr>
      </w:pPr>
    </w:p>
    <w:p w14:paraId="2DBB0827" w14:textId="3DB38099" w:rsidR="009B7C2B" w:rsidRPr="00AD7EBC" w:rsidRDefault="006523A5" w:rsidP="00860E31">
      <w:pPr>
        <w:pStyle w:val="ListParagraph"/>
        <w:numPr>
          <w:ilvl w:val="1"/>
          <w:numId w:val="9"/>
        </w:numPr>
        <w:tabs>
          <w:tab w:val="left" w:pos="473"/>
        </w:tabs>
        <w:ind w:left="372"/>
        <w:jc w:val="both"/>
        <w:rPr>
          <w:i/>
          <w:sz w:val="20"/>
          <w:lang w:val="en-GB"/>
        </w:rPr>
      </w:pPr>
      <w:r w:rsidRPr="00AD7EBC">
        <w:rPr>
          <w:color w:val="1F487C"/>
          <w:lang w:val="en-GB"/>
        </w:rPr>
        <w:t>Control groups / Counterfactual scenario</w:t>
      </w:r>
    </w:p>
    <w:p w14:paraId="4FDF2D6F" w14:textId="2A3BD10C" w:rsidR="009B7C2B" w:rsidRDefault="009B7C2B" w:rsidP="00910C5C">
      <w:pPr>
        <w:pStyle w:val="BodyText"/>
        <w:spacing w:before="123"/>
        <w:ind w:right="114"/>
        <w:jc w:val="both"/>
        <w:rPr>
          <w:lang w:val="en-GB"/>
        </w:rPr>
      </w:pPr>
      <w:r w:rsidRPr="00AD7EBC">
        <w:rPr>
          <w:lang w:val="en-GB"/>
        </w:rPr>
        <w:t xml:space="preserve">As mentioned above, the project will use a quasi-experimental design in its evaluation, where external evaluators will compare outcomes of a treatment group to a control group. To be rigorous, control group will be matched to the greatest extent possible on observable characteristics that were used for project selection criteria of treatment. Selection of control groups will be randomly chosen among areas where Save the Children had an equal intent to </w:t>
      </w:r>
      <w:r w:rsidRPr="00AD7EBC">
        <w:rPr>
          <w:lang w:val="en-GB"/>
        </w:rPr>
        <w:lastRenderedPageBreak/>
        <w:t xml:space="preserve">work in. The project team will assist the future external evaluators by giving them the information needed for the evaluators to be able to define and create a list of control groups that they will use in their evaluation. </w:t>
      </w:r>
    </w:p>
    <w:p w14:paraId="46AE895D" w14:textId="77777777" w:rsidR="00860E31" w:rsidRDefault="00860E31" w:rsidP="00860E31">
      <w:pPr>
        <w:pStyle w:val="BodyText"/>
        <w:spacing w:before="123"/>
        <w:ind w:right="114"/>
        <w:jc w:val="both"/>
        <w:rPr>
          <w:lang w:val="en-GB"/>
        </w:rPr>
      </w:pPr>
    </w:p>
    <w:p w14:paraId="3FDEE07A" w14:textId="42761272" w:rsidR="009B7C2B" w:rsidRPr="00AD7EBC" w:rsidRDefault="009B7C2B" w:rsidP="00860E31">
      <w:pPr>
        <w:pStyle w:val="BodyText"/>
        <w:spacing w:before="123"/>
        <w:ind w:right="114"/>
        <w:jc w:val="both"/>
        <w:rPr>
          <w:lang w:val="en-GB"/>
        </w:rPr>
      </w:pPr>
      <w:r w:rsidRPr="00AD7EBC">
        <w:rPr>
          <w:lang w:val="en-GB"/>
        </w:rPr>
        <w:t>Appropriate comparison schools will be chosen on the basis of three characteristics:</w:t>
      </w:r>
    </w:p>
    <w:p w14:paraId="4F012CF4" w14:textId="77777777" w:rsidR="00EB004C" w:rsidRPr="00AD7EBC" w:rsidRDefault="009B7C2B" w:rsidP="00EB004C">
      <w:pPr>
        <w:pStyle w:val="BodyText"/>
        <w:numPr>
          <w:ilvl w:val="0"/>
          <w:numId w:val="27"/>
        </w:numPr>
        <w:spacing w:before="123"/>
        <w:ind w:right="114"/>
        <w:jc w:val="both"/>
        <w:rPr>
          <w:lang w:val="en-GB"/>
        </w:rPr>
      </w:pPr>
      <w:r w:rsidRPr="00AD7EBC">
        <w:rPr>
          <w:lang w:val="en-GB"/>
        </w:rPr>
        <w:t>Geography: same province, largely rural profile</w:t>
      </w:r>
    </w:p>
    <w:p w14:paraId="48BDF501" w14:textId="77777777" w:rsidR="00EB004C" w:rsidRPr="00AD7EBC" w:rsidRDefault="009B7C2B" w:rsidP="00EB004C">
      <w:pPr>
        <w:pStyle w:val="BodyText"/>
        <w:spacing w:before="123"/>
        <w:ind w:left="460" w:right="114"/>
        <w:jc w:val="both"/>
        <w:rPr>
          <w:lang w:val="en-GB"/>
        </w:rPr>
      </w:pPr>
      <w:r w:rsidRPr="00AD7EBC">
        <w:rPr>
          <w:lang w:val="en-GB"/>
        </w:rPr>
        <w:t>Comparison communities will be chosen from the same province as the treatment communities to ensure that the counterfactual holds</w:t>
      </w:r>
      <w:r w:rsidR="00EB004C" w:rsidRPr="00AD7EBC">
        <w:rPr>
          <w:lang w:val="en-GB"/>
        </w:rPr>
        <w:t xml:space="preserve">. </w:t>
      </w:r>
      <w:r w:rsidRPr="00AD7EBC">
        <w:rPr>
          <w:lang w:val="en-GB"/>
        </w:rPr>
        <w:t>To ensure that there is geographic comparability, comparison sites will all be chosen to have a rural profile, which is consistent with t</w:t>
      </w:r>
      <w:r w:rsidR="00EB004C" w:rsidRPr="00AD7EBC">
        <w:rPr>
          <w:lang w:val="en-GB"/>
        </w:rPr>
        <w:t xml:space="preserve">he nature of treatment areas. </w:t>
      </w:r>
    </w:p>
    <w:p w14:paraId="1BE05EAC" w14:textId="6D4744D3" w:rsidR="00EB004C" w:rsidRPr="00AD7EBC" w:rsidRDefault="009B7C2B" w:rsidP="00EB004C">
      <w:pPr>
        <w:pStyle w:val="BodyText"/>
        <w:numPr>
          <w:ilvl w:val="0"/>
          <w:numId w:val="27"/>
        </w:numPr>
        <w:spacing w:before="123"/>
        <w:ind w:right="114"/>
        <w:jc w:val="both"/>
        <w:rPr>
          <w:lang w:val="en-GB"/>
        </w:rPr>
      </w:pPr>
      <w:r w:rsidRPr="00AD7EBC">
        <w:rPr>
          <w:lang w:val="en-GB"/>
        </w:rPr>
        <w:t>Community size: proportionate mix of small, medium and large</w:t>
      </w:r>
      <w:r w:rsidR="00EB004C" w:rsidRPr="00AD7EBC">
        <w:rPr>
          <w:lang w:val="en-GB"/>
        </w:rPr>
        <w:t>.</w:t>
      </w:r>
    </w:p>
    <w:p w14:paraId="640F9BC2" w14:textId="5A11E9B9" w:rsidR="009B7C2B" w:rsidRPr="00AD7EBC" w:rsidRDefault="009B7C2B" w:rsidP="00EB004C">
      <w:pPr>
        <w:pStyle w:val="BodyText"/>
        <w:spacing w:before="123"/>
        <w:ind w:left="460" w:right="114"/>
        <w:jc w:val="both"/>
        <w:rPr>
          <w:lang w:val="en-GB"/>
        </w:rPr>
      </w:pPr>
      <w:r w:rsidRPr="00AD7EBC">
        <w:rPr>
          <w:lang w:val="en-GB"/>
        </w:rPr>
        <w:t>Comparison communities will be chosen by ensuring an appropriate mix of community size, calculated on the basis of</w:t>
      </w:r>
      <w:r w:rsidR="00EB004C" w:rsidRPr="00AD7EBC">
        <w:rPr>
          <w:lang w:val="en-GB"/>
        </w:rPr>
        <w:t xml:space="preserve"> number of households. </w:t>
      </w:r>
      <w:r w:rsidRPr="00AD7EBC">
        <w:rPr>
          <w:lang w:val="en-GB"/>
        </w:rPr>
        <w:t>When selecting the comparison sites, a mix of small, medium, and large communities will be selected to be proportionate to the mix found in treatment communities</w:t>
      </w:r>
    </w:p>
    <w:p w14:paraId="2F97B67B" w14:textId="0C79EB55" w:rsidR="009B7C2B" w:rsidRPr="00AD7EBC" w:rsidRDefault="009B7C2B" w:rsidP="00EB004C">
      <w:pPr>
        <w:pStyle w:val="BodyText"/>
        <w:numPr>
          <w:ilvl w:val="0"/>
          <w:numId w:val="27"/>
        </w:numPr>
        <w:spacing w:before="123"/>
        <w:ind w:right="114"/>
        <w:jc w:val="both"/>
        <w:rPr>
          <w:lang w:val="en-GB"/>
        </w:rPr>
      </w:pPr>
      <w:r w:rsidRPr="00AD7EBC">
        <w:rPr>
          <w:lang w:val="en-GB"/>
        </w:rPr>
        <w:t xml:space="preserve">School size: </w:t>
      </w:r>
      <w:r w:rsidR="00EB004C" w:rsidRPr="00AD7EBC">
        <w:rPr>
          <w:lang w:val="en-GB"/>
        </w:rPr>
        <w:t>w</w:t>
      </w:r>
      <w:r w:rsidRPr="00AD7EBC">
        <w:rPr>
          <w:lang w:val="en-GB"/>
        </w:rPr>
        <w:t>hile geography and community size will form the basis of comparison site selection, the size of the school – calculated using number of students – will also be considered to select the final comparison sites.</w:t>
      </w:r>
    </w:p>
    <w:p w14:paraId="6A406120" w14:textId="77777777" w:rsidR="009B7C2B" w:rsidRPr="00860E31" w:rsidRDefault="009B7C2B" w:rsidP="00860E31"/>
    <w:p w14:paraId="0EAB5988" w14:textId="7943542C" w:rsidR="009B7C2B" w:rsidRDefault="009B7C2B" w:rsidP="00860E31">
      <w:r w:rsidRPr="00860E31">
        <w:t xml:space="preserve">The control schools and communities are located in the same provinces </w:t>
      </w:r>
      <w:r w:rsidR="00EB004C" w:rsidRPr="00860E31">
        <w:t xml:space="preserve">as treatment schools, but </w:t>
      </w:r>
      <w:r w:rsidRPr="00860E31">
        <w:t>they are classified as ‘control’ because the project doesn’t intervene in those locations and schools. The issue of spill over is valid and hard to regulate. In the previous project, there has been instances where spillover of some of the interventions had contaminated control schools. It has been recommended by the endline findings to choose control groups who are geographically as distant as possible from treatment groups. The contamination issue will be discussed in detail with the external evaluators in order to find the best mitigatio</w:t>
      </w:r>
      <w:r w:rsidR="00EB004C" w:rsidRPr="00860E31">
        <w:t xml:space="preserve">n approach to be used for REALISE. </w:t>
      </w:r>
    </w:p>
    <w:p w14:paraId="270102F0" w14:textId="77777777" w:rsidR="00860E31" w:rsidRPr="00860E31" w:rsidRDefault="00860E31" w:rsidP="00860E31"/>
    <w:p w14:paraId="5E9675CB" w14:textId="0C91DED3" w:rsidR="009B7C2B" w:rsidRPr="00860E31" w:rsidRDefault="009B7C2B" w:rsidP="00860E31">
      <w:r w:rsidRPr="00860E31">
        <w:t xml:space="preserve">In addition, the project has decided to start fresh with a new sample of girls’ beneficiaries as well as a new sample of control to feature in the evaluations, thus applying a rigorous selection of criteria to a new cohort of girls in treatment and control to track and measure throughout the life of the project. </w:t>
      </w:r>
    </w:p>
    <w:p w14:paraId="4D31E036" w14:textId="77777777" w:rsidR="009B7C2B" w:rsidRPr="00860E31" w:rsidRDefault="009B7C2B" w:rsidP="00860E31"/>
    <w:p w14:paraId="1B81AD42" w14:textId="10D012A1" w:rsidR="009B7C2B" w:rsidRPr="00AD7EBC" w:rsidRDefault="009B7C2B" w:rsidP="00860E31">
      <w:pPr>
        <w:rPr>
          <w:lang w:val="en-GB"/>
        </w:rPr>
      </w:pPr>
      <w:r w:rsidRPr="00860E31">
        <w:t>When evaluating</w:t>
      </w:r>
      <w:r w:rsidRPr="00AD7EBC">
        <w:rPr>
          <w:lang w:val="en-GB"/>
        </w:rPr>
        <w:t xml:space="preserve"> the project’s outcomes, including transition and learning, the evaluation is required to use a control group to measure additionality to demonstrate causality between the project’s interventions and the effects on the treatment groups’ learning and transition outcomes. The Difference-in-Difference (</w:t>
      </w:r>
      <w:proofErr w:type="spellStart"/>
      <w:r w:rsidRPr="00AD7EBC">
        <w:rPr>
          <w:lang w:val="en-GB"/>
        </w:rPr>
        <w:t>DiD</w:t>
      </w:r>
      <w:proofErr w:type="spellEnd"/>
      <w:r w:rsidRPr="00AD7EBC">
        <w:rPr>
          <w:lang w:val="en-GB"/>
        </w:rPr>
        <w:t>) approach will</w:t>
      </w:r>
      <w:r w:rsidR="00EB004C" w:rsidRPr="00AD7EBC">
        <w:rPr>
          <w:lang w:val="en-GB"/>
        </w:rPr>
        <w:t xml:space="preserve"> be used to deliver an unbiased </w:t>
      </w:r>
      <w:r w:rsidRPr="00AD7EBC">
        <w:rPr>
          <w:lang w:val="en-GB"/>
        </w:rPr>
        <w:t>estimate of the causal impact of the project under the following assumptions:</w:t>
      </w:r>
    </w:p>
    <w:p w14:paraId="58E071E0" w14:textId="25D7DEC7" w:rsidR="009B7C2B" w:rsidRPr="00AD7EBC" w:rsidRDefault="00EB004C" w:rsidP="00860E31">
      <w:pPr>
        <w:pStyle w:val="BodyText"/>
        <w:spacing w:before="123"/>
        <w:ind w:right="114"/>
        <w:jc w:val="both"/>
        <w:rPr>
          <w:lang w:val="en-GB"/>
        </w:rPr>
      </w:pPr>
      <w:r w:rsidRPr="00AD7EBC">
        <w:rPr>
          <w:lang w:val="en-GB"/>
        </w:rPr>
        <w:t xml:space="preserve">• </w:t>
      </w:r>
      <w:r w:rsidR="009B7C2B" w:rsidRPr="00AD7EBC">
        <w:rPr>
          <w:lang w:val="en-GB"/>
        </w:rPr>
        <w:t>Assumption 1. The outcome trajectories of the intervention and comparison groups would be parallel in the absence of the intervention.</w:t>
      </w:r>
    </w:p>
    <w:p w14:paraId="357D815B" w14:textId="486EE64C" w:rsidR="009B7C2B" w:rsidRPr="00AD7EBC" w:rsidRDefault="00EB004C" w:rsidP="00860E31">
      <w:pPr>
        <w:pStyle w:val="BodyText"/>
        <w:spacing w:before="123"/>
        <w:ind w:right="114"/>
        <w:jc w:val="both"/>
        <w:rPr>
          <w:lang w:val="en-GB"/>
        </w:rPr>
      </w:pPr>
      <w:r w:rsidRPr="00AD7EBC">
        <w:rPr>
          <w:lang w:val="en-GB"/>
        </w:rPr>
        <w:t xml:space="preserve">• </w:t>
      </w:r>
      <w:r w:rsidR="009B7C2B" w:rsidRPr="00AD7EBC">
        <w:rPr>
          <w:lang w:val="en-GB"/>
        </w:rPr>
        <w:t>Assumption 2. All individuals in the target groups are reached by the same intervention or interventions at the same time and no individual of the comparison group receives any of the interventions.</w:t>
      </w:r>
    </w:p>
    <w:p w14:paraId="48B001B8" w14:textId="47FABD77" w:rsidR="009B7C2B" w:rsidRPr="00AD7EBC" w:rsidRDefault="009B7C2B" w:rsidP="00EB004C">
      <w:pPr>
        <w:pStyle w:val="BodyText"/>
        <w:spacing w:before="123"/>
        <w:ind w:right="114"/>
        <w:jc w:val="both"/>
        <w:rPr>
          <w:lang w:val="en-GB"/>
        </w:rPr>
      </w:pPr>
      <w:r w:rsidRPr="00AD7EBC">
        <w:rPr>
          <w:lang w:val="en-GB"/>
        </w:rPr>
        <w:t xml:space="preserve">Assumption 2 cannot be tested before </w:t>
      </w:r>
      <w:r w:rsidR="00860E31" w:rsidRPr="00AD7EBC">
        <w:rPr>
          <w:lang w:val="en-GB"/>
        </w:rPr>
        <w:t>implementation,</w:t>
      </w:r>
      <w:r w:rsidRPr="00AD7EBC">
        <w:rPr>
          <w:lang w:val="en-GB"/>
        </w:rPr>
        <w:t xml:space="preserve"> but it can be verified ex-post through detailed exposure data. Both assumptions will be rigorously tested by the external evaluators with the appropriate evidence using secondary data as well as primary data at baseline, </w:t>
      </w:r>
      <w:r w:rsidRPr="00AD7EBC">
        <w:rPr>
          <w:lang w:val="en-GB"/>
        </w:rPr>
        <w:lastRenderedPageBreak/>
        <w:t>midline and endline.</w:t>
      </w:r>
    </w:p>
    <w:p w14:paraId="33EA8682" w14:textId="1CD58E98" w:rsidR="009B7C2B" w:rsidRPr="00AD7EBC" w:rsidRDefault="00EB004C" w:rsidP="00EB004C">
      <w:pPr>
        <w:pStyle w:val="BodyText"/>
        <w:spacing w:before="123"/>
        <w:ind w:right="114"/>
        <w:jc w:val="both"/>
        <w:rPr>
          <w:lang w:val="en-GB"/>
        </w:rPr>
      </w:pPr>
      <w:r w:rsidRPr="00AD7EBC">
        <w:rPr>
          <w:lang w:val="en-GB"/>
        </w:rPr>
        <w:t>P</w:t>
      </w:r>
      <w:r w:rsidR="009B7C2B" w:rsidRPr="00AD7EBC">
        <w:rPr>
          <w:lang w:val="en-GB"/>
        </w:rPr>
        <w:t>rior to implementation, two steps will be taken to minimize the chances of contamination:</w:t>
      </w:r>
    </w:p>
    <w:p w14:paraId="47370876" w14:textId="1FB445F4" w:rsidR="009B7C2B" w:rsidRPr="00AD7EBC" w:rsidRDefault="00EB004C" w:rsidP="00860E31">
      <w:pPr>
        <w:pStyle w:val="BodyText"/>
        <w:spacing w:before="123"/>
        <w:ind w:right="114"/>
        <w:jc w:val="both"/>
        <w:rPr>
          <w:lang w:val="en-GB"/>
        </w:rPr>
      </w:pPr>
      <w:r w:rsidRPr="00AD7EBC">
        <w:rPr>
          <w:lang w:val="en-GB"/>
        </w:rPr>
        <w:t xml:space="preserve">1. </w:t>
      </w:r>
      <w:r w:rsidR="009B7C2B" w:rsidRPr="00AD7EBC">
        <w:rPr>
          <w:lang w:val="en-GB"/>
        </w:rPr>
        <w:t>Save</w:t>
      </w:r>
      <w:r w:rsidR="00160977" w:rsidRPr="00AD7EBC">
        <w:rPr>
          <w:lang w:val="en-GB"/>
        </w:rPr>
        <w:t xml:space="preserve"> the Children</w:t>
      </w:r>
      <w:r w:rsidR="009B7C2B" w:rsidRPr="00AD7EBC">
        <w:rPr>
          <w:lang w:val="en-GB"/>
        </w:rPr>
        <w:t xml:space="preserve"> field staff will review the full comparison school frames in detail in order to remove any sites in which they are aware of ongoing programming by other projects. This removal will be based entirely on local knowledge, and thus can be done on a best efforts basis only</w:t>
      </w:r>
    </w:p>
    <w:p w14:paraId="2E2E8806" w14:textId="1EB306F9" w:rsidR="009B7C2B" w:rsidRPr="00AD7EBC" w:rsidRDefault="00EB004C" w:rsidP="00860E31">
      <w:pPr>
        <w:pStyle w:val="BodyText"/>
        <w:spacing w:before="123"/>
        <w:ind w:right="114"/>
        <w:jc w:val="both"/>
        <w:rPr>
          <w:lang w:val="en-GB"/>
        </w:rPr>
      </w:pPr>
      <w:r w:rsidRPr="00AD7EBC">
        <w:rPr>
          <w:lang w:val="en-GB"/>
        </w:rPr>
        <w:t xml:space="preserve">2. </w:t>
      </w:r>
      <w:r w:rsidR="009B7C2B" w:rsidRPr="00AD7EBC">
        <w:rPr>
          <w:lang w:val="en-GB"/>
        </w:rPr>
        <w:t>Once the evaluator has selected the shortlist of comparison school sites, Save</w:t>
      </w:r>
      <w:r w:rsidR="00160977" w:rsidRPr="00AD7EBC">
        <w:rPr>
          <w:lang w:val="en-GB"/>
        </w:rPr>
        <w:t xml:space="preserve"> the Children</w:t>
      </w:r>
      <w:r w:rsidR="009B7C2B" w:rsidRPr="00AD7EBC">
        <w:rPr>
          <w:lang w:val="en-GB"/>
        </w:rPr>
        <w:t xml:space="preserve"> field staff will visit at least 25% of the field sites to informally check with local government officials and prominent members of the local community if other NGOs are active in the area. Field sites where other projects are being implemented will be replaced by other suitable sites from the comparison school frame</w:t>
      </w:r>
      <w:r w:rsidRPr="00AD7EBC">
        <w:rPr>
          <w:lang w:val="en-GB"/>
        </w:rPr>
        <w:t>.</w:t>
      </w:r>
    </w:p>
    <w:p w14:paraId="6CB87CC8" w14:textId="485C0EE7" w:rsidR="007C7D0F" w:rsidRPr="00AD7EBC" w:rsidRDefault="007C7D0F" w:rsidP="007C7D0F">
      <w:pPr>
        <w:pStyle w:val="BodyText"/>
        <w:spacing w:before="6"/>
        <w:rPr>
          <w:sz w:val="20"/>
          <w:lang w:val="en-GB"/>
        </w:rPr>
      </w:pPr>
    </w:p>
    <w:p w14:paraId="369EE6EF" w14:textId="1113A38A" w:rsidR="00810F8E" w:rsidRPr="00AD7EBC" w:rsidRDefault="006523A5" w:rsidP="00860E31">
      <w:pPr>
        <w:pStyle w:val="ListParagraph"/>
        <w:numPr>
          <w:ilvl w:val="1"/>
          <w:numId w:val="9"/>
        </w:numPr>
        <w:tabs>
          <w:tab w:val="left" w:pos="473"/>
        </w:tabs>
        <w:ind w:left="372"/>
        <w:jc w:val="both"/>
        <w:rPr>
          <w:b/>
          <w:lang w:val="en-GB"/>
        </w:rPr>
      </w:pPr>
      <w:r w:rsidRPr="00AD7EBC">
        <w:rPr>
          <w:color w:val="1F487C"/>
          <w:lang w:val="en-GB"/>
        </w:rPr>
        <w:t>Cohort tracking</w:t>
      </w:r>
    </w:p>
    <w:p w14:paraId="50EDA98E" w14:textId="77777777" w:rsidR="007C7D0F" w:rsidRPr="00AD7EBC" w:rsidRDefault="007C7D0F" w:rsidP="007C7D0F">
      <w:pPr>
        <w:pStyle w:val="BodyText"/>
        <w:spacing w:before="9"/>
        <w:rPr>
          <w:sz w:val="20"/>
          <w:lang w:val="en-GB"/>
        </w:rPr>
      </w:pPr>
    </w:p>
    <w:p w14:paraId="488E7DBC" w14:textId="397590BE" w:rsidR="007C7D0F" w:rsidRPr="00AD7EBC" w:rsidRDefault="007C7D0F" w:rsidP="00860E31">
      <w:pPr>
        <w:pStyle w:val="ListParagraph"/>
        <w:numPr>
          <w:ilvl w:val="0"/>
          <w:numId w:val="23"/>
        </w:numPr>
        <w:tabs>
          <w:tab w:val="left" w:pos="653"/>
        </w:tabs>
        <w:ind w:left="360"/>
        <w:jc w:val="both"/>
        <w:rPr>
          <w:lang w:val="en-GB"/>
        </w:rPr>
      </w:pPr>
      <w:r w:rsidRPr="00AD7EBC">
        <w:rPr>
          <w:color w:val="1F487C"/>
          <w:lang w:val="en-GB"/>
        </w:rPr>
        <w:t>Learning cohort</w:t>
      </w:r>
    </w:p>
    <w:p w14:paraId="50E9EC6D" w14:textId="285FDB0E" w:rsidR="00FE490E" w:rsidRPr="00AD7EBC" w:rsidRDefault="00FE490E" w:rsidP="00860E31">
      <w:pPr>
        <w:pStyle w:val="BodyText"/>
        <w:spacing w:before="157"/>
        <w:ind w:right="112"/>
        <w:jc w:val="both"/>
        <w:rPr>
          <w:lang w:val="en-GB"/>
        </w:rPr>
      </w:pPr>
      <w:r w:rsidRPr="00AD7EBC">
        <w:rPr>
          <w:lang w:val="en-GB"/>
        </w:rPr>
        <w:t>The learning cohorts (for both treatment and control) will b</w:t>
      </w:r>
      <w:r w:rsidR="00E059D1" w:rsidRPr="00AD7EBC">
        <w:rPr>
          <w:lang w:val="en-GB"/>
        </w:rPr>
        <w:t xml:space="preserve">e made of girls who are in Grade </w:t>
      </w:r>
      <w:r w:rsidR="00FB373E" w:rsidRPr="00AD7EBC">
        <w:rPr>
          <w:lang w:val="en-GB"/>
        </w:rPr>
        <w:t>4</w:t>
      </w:r>
      <w:r w:rsidR="00D36BB1" w:rsidRPr="00AD7EBC">
        <w:rPr>
          <w:lang w:val="en-GB"/>
        </w:rPr>
        <w:t xml:space="preserve"> to</w:t>
      </w:r>
      <w:r w:rsidR="00E059D1" w:rsidRPr="00AD7EBC">
        <w:rPr>
          <w:lang w:val="en-GB"/>
        </w:rPr>
        <w:t xml:space="preserve"> Grade 6</w:t>
      </w:r>
      <w:r w:rsidRPr="00AD7EBC">
        <w:rPr>
          <w:lang w:val="en-GB"/>
        </w:rPr>
        <w:t xml:space="preserve"> of primary schools</w:t>
      </w:r>
      <w:r w:rsidR="00005BCE" w:rsidRPr="00AD7EBC">
        <w:rPr>
          <w:lang w:val="en-GB"/>
        </w:rPr>
        <w:t>, and Level 1 to Level 2 of AEP centres</w:t>
      </w:r>
      <w:r w:rsidRPr="00AD7EBC">
        <w:rPr>
          <w:lang w:val="en-GB"/>
        </w:rPr>
        <w:t xml:space="preserve">. The </w:t>
      </w:r>
      <w:r w:rsidR="00D36BB1" w:rsidRPr="00AD7EBC">
        <w:rPr>
          <w:lang w:val="en-GB"/>
        </w:rPr>
        <w:t>project didn’t implement learning activities</w:t>
      </w:r>
      <w:r w:rsidRPr="00AD7EBC">
        <w:rPr>
          <w:lang w:val="en-GB"/>
        </w:rPr>
        <w:t xml:space="preserve"> in secondary school previously, therefore we don’t have any beneficiaries at th</w:t>
      </w:r>
      <w:r w:rsidR="00E059D1" w:rsidRPr="00AD7EBC">
        <w:rPr>
          <w:lang w:val="en-GB"/>
        </w:rPr>
        <w:t>at education level in year 1</w:t>
      </w:r>
      <w:r w:rsidRPr="00AD7EBC">
        <w:rPr>
          <w:lang w:val="en-GB"/>
        </w:rPr>
        <w:t>. However, if our Theory of Change holds true, the girls will transition to the next grade level at the end of ea</w:t>
      </w:r>
      <w:r w:rsidR="00E059D1" w:rsidRPr="00AD7EBC">
        <w:rPr>
          <w:lang w:val="en-GB"/>
        </w:rPr>
        <w:t>ch school year, therefore REALISE</w:t>
      </w:r>
      <w:r w:rsidRPr="00AD7EBC">
        <w:rPr>
          <w:lang w:val="en-GB"/>
        </w:rPr>
        <w:t xml:space="preserve"> will also be working in secondary schools from year 2 of the project. </w:t>
      </w:r>
    </w:p>
    <w:p w14:paraId="391FE0B9" w14:textId="37BCA5BC" w:rsidR="00FE490E" w:rsidRPr="00AD7EBC" w:rsidRDefault="00FE490E" w:rsidP="00860E31">
      <w:pPr>
        <w:pStyle w:val="BodyText"/>
        <w:spacing w:before="157"/>
        <w:ind w:right="112"/>
        <w:jc w:val="both"/>
        <w:rPr>
          <w:lang w:val="en-GB"/>
        </w:rPr>
      </w:pPr>
      <w:r w:rsidRPr="00AD7EBC">
        <w:rPr>
          <w:lang w:val="en-GB"/>
        </w:rPr>
        <w:t>Based on the sampling calculation</w:t>
      </w:r>
      <w:r w:rsidR="00E059D1" w:rsidRPr="00AD7EBC">
        <w:rPr>
          <w:lang w:val="en-GB"/>
        </w:rPr>
        <w:t>s</w:t>
      </w:r>
      <w:r w:rsidRPr="00AD7EBC">
        <w:rPr>
          <w:lang w:val="en-GB"/>
        </w:rPr>
        <w:t xml:space="preserve"> (see section below), each </w:t>
      </w:r>
      <w:r w:rsidR="003D688A" w:rsidRPr="00AD7EBC">
        <w:rPr>
          <w:lang w:val="en-GB"/>
        </w:rPr>
        <w:t>treatment grade at primary and AEP level</w:t>
      </w:r>
      <w:r w:rsidRPr="00AD7EBC">
        <w:rPr>
          <w:lang w:val="en-GB"/>
        </w:rPr>
        <w:t xml:space="preserve"> will have a representative sample size that constitutes the learning cohort for each grade, who will be tracked over time to measure their learning outcomes. In control groups, a similar approach will be used to establish </w:t>
      </w:r>
      <w:r w:rsidR="00E059D1" w:rsidRPr="00AD7EBC">
        <w:rPr>
          <w:lang w:val="en-GB"/>
        </w:rPr>
        <w:t xml:space="preserve">learning cohorts across grades. </w:t>
      </w:r>
    </w:p>
    <w:p w14:paraId="16FCEBDB" w14:textId="08D67808" w:rsidR="00FE490E" w:rsidRPr="00AD7EBC" w:rsidRDefault="00FE490E" w:rsidP="00860E31">
      <w:pPr>
        <w:pStyle w:val="BodyText"/>
        <w:spacing w:before="157"/>
        <w:ind w:right="112"/>
        <w:jc w:val="both"/>
        <w:rPr>
          <w:lang w:val="en-GB"/>
        </w:rPr>
      </w:pPr>
      <w:r w:rsidRPr="00AD7EBC">
        <w:rPr>
          <w:lang w:val="en-GB"/>
        </w:rPr>
        <w:t>Each girl who will be selected to be part of the learning cohort will be assigned a unique I.D number, along with characteristics about the girl and her household will also be collected at the same time. This allows for the evaluators to find the same girl at the subsequent evaluation points, and if not, to be able to use the characteristics collected to find a replacement girl (see section below on replacement strategy). The household characteristics and girl’s characteristics will be used for data analysis as well, which will provide the project with more background information about potential factors hindering or enabling girls’ learning of literacy and n</w:t>
      </w:r>
      <w:r w:rsidR="00E059D1" w:rsidRPr="00AD7EBC">
        <w:rPr>
          <w:lang w:val="en-GB"/>
        </w:rPr>
        <w:t>umeracy skills</w:t>
      </w:r>
      <w:r w:rsidRPr="00AD7EBC">
        <w:rPr>
          <w:lang w:val="en-GB"/>
        </w:rPr>
        <w:t xml:space="preserve">. </w:t>
      </w:r>
    </w:p>
    <w:p w14:paraId="7FF0F171" w14:textId="01F1A05E" w:rsidR="00FE490E" w:rsidRPr="00AD7EBC" w:rsidRDefault="00FE490E" w:rsidP="00860E31">
      <w:pPr>
        <w:pStyle w:val="BodyText"/>
        <w:spacing w:before="157"/>
        <w:ind w:right="112"/>
        <w:jc w:val="both"/>
        <w:rPr>
          <w:lang w:val="en-GB"/>
        </w:rPr>
      </w:pPr>
      <w:r w:rsidRPr="00AD7EBC">
        <w:rPr>
          <w:lang w:val="en-GB"/>
        </w:rPr>
        <w:t>As recommended by the FM, the learning tests will be administered at school</w:t>
      </w:r>
      <w:r w:rsidR="003D688A" w:rsidRPr="00AD7EBC">
        <w:rPr>
          <w:lang w:val="en-GB"/>
        </w:rPr>
        <w:t xml:space="preserve"> and AEP</w:t>
      </w:r>
      <w:r w:rsidRPr="00AD7EBC">
        <w:rPr>
          <w:lang w:val="en-GB"/>
        </w:rPr>
        <w:t xml:space="preserve"> level, where the cohort of girls will be assessed for numeracy and literacy skills at their grade level. Given the fact that some girls will leave primary</w:t>
      </w:r>
      <w:r w:rsidR="003D688A" w:rsidRPr="00AD7EBC">
        <w:rPr>
          <w:lang w:val="en-GB"/>
        </w:rPr>
        <w:t xml:space="preserve"> or AEP</w:t>
      </w:r>
      <w:r w:rsidRPr="00AD7EBC">
        <w:rPr>
          <w:lang w:val="en-GB"/>
        </w:rPr>
        <w:t xml:space="preserve"> to join a secondary school, the evaluators will need to f</w:t>
      </w:r>
      <w:r w:rsidR="003D688A" w:rsidRPr="00AD7EBC">
        <w:rPr>
          <w:lang w:val="en-GB"/>
        </w:rPr>
        <w:t>ind the same girls thanks to their</w:t>
      </w:r>
      <w:r w:rsidRPr="00AD7EBC">
        <w:rPr>
          <w:lang w:val="en-GB"/>
        </w:rPr>
        <w:t xml:space="preserve"> unique ID number in the secondary school after transitioning from primary</w:t>
      </w:r>
      <w:r w:rsidR="003D688A" w:rsidRPr="00AD7EBC">
        <w:rPr>
          <w:lang w:val="en-GB"/>
        </w:rPr>
        <w:t xml:space="preserve"> and AEP</w:t>
      </w:r>
      <w:r w:rsidRPr="00AD7EBC">
        <w:rPr>
          <w:lang w:val="en-GB"/>
        </w:rPr>
        <w:t xml:space="preserve">. </w:t>
      </w:r>
      <w:r w:rsidR="00713ED8" w:rsidRPr="00AD7EBC">
        <w:rPr>
          <w:lang w:val="en-GB"/>
        </w:rPr>
        <w:t>T</w:t>
      </w:r>
      <w:r w:rsidR="00D36BB1" w:rsidRPr="00AD7EBC">
        <w:rPr>
          <w:lang w:val="en-GB"/>
        </w:rPr>
        <w:t>here are potentially 235</w:t>
      </w:r>
      <w:r w:rsidRPr="00AD7EBC">
        <w:rPr>
          <w:lang w:val="en-GB"/>
        </w:rPr>
        <w:t xml:space="preserve"> secondary schools in the project’s intervention areas, </w:t>
      </w:r>
      <w:r w:rsidR="00BC1642" w:rsidRPr="00AD7EBC">
        <w:rPr>
          <w:lang w:val="en-GB"/>
        </w:rPr>
        <w:t xml:space="preserve">but the project hasn’t selected its treatment secondary schools yet (year 1) as it would depend on which secondary schools our beneficiaries choose to transition to. In year 2, the project will specifically select secondary schools where our beneficiaries are (grade 7), by implementing </w:t>
      </w:r>
      <w:r w:rsidR="00BC1642" w:rsidRPr="00AD7EBC">
        <w:rPr>
          <w:b/>
          <w:lang w:val="en-GB"/>
        </w:rPr>
        <w:t>interventions for the whole targeted grade level</w:t>
      </w:r>
      <w:r w:rsidR="00BC1642" w:rsidRPr="00AD7EBC">
        <w:rPr>
          <w:lang w:val="en-GB"/>
        </w:rPr>
        <w:t>. Thus, girls in grade 7 who weren’t necessarily coming from a treatment primary school</w:t>
      </w:r>
      <w:r w:rsidR="00C72CE0" w:rsidRPr="00AD7EBC">
        <w:rPr>
          <w:lang w:val="en-GB"/>
        </w:rPr>
        <w:t xml:space="preserve"> will also receive treatment, as it would be</w:t>
      </w:r>
      <w:r w:rsidR="00BC1642" w:rsidRPr="00AD7EBC">
        <w:rPr>
          <w:lang w:val="en-GB"/>
        </w:rPr>
        <w:t xml:space="preserve"> impossible to only have activities with some girls in one grade and not the others in that same grade. </w:t>
      </w:r>
      <w:r w:rsidRPr="00AD7EBC">
        <w:rPr>
          <w:lang w:val="en-GB"/>
        </w:rPr>
        <w:t>However,</w:t>
      </w:r>
      <w:r w:rsidR="00C72CE0" w:rsidRPr="00AD7EBC">
        <w:rPr>
          <w:lang w:val="en-GB"/>
        </w:rPr>
        <w:t xml:space="preserve"> the evaluators will still be </w:t>
      </w:r>
      <w:r w:rsidR="00C72CE0" w:rsidRPr="00AD7EBC">
        <w:rPr>
          <w:b/>
          <w:lang w:val="en-GB"/>
        </w:rPr>
        <w:t>tracking and assessing the same cohort of girls who receive treatment from the very beginning of the project</w:t>
      </w:r>
      <w:r w:rsidR="00C72CE0" w:rsidRPr="00AD7EBC">
        <w:rPr>
          <w:lang w:val="en-GB"/>
        </w:rPr>
        <w:t>, from baseline to midline to endline. I</w:t>
      </w:r>
      <w:r w:rsidRPr="00AD7EBC">
        <w:rPr>
          <w:lang w:val="en-GB"/>
        </w:rPr>
        <w:t xml:space="preserve">f the evaluators find that a treatment girl </w:t>
      </w:r>
      <w:r w:rsidRPr="00AD7EBC">
        <w:rPr>
          <w:lang w:val="en-GB"/>
        </w:rPr>
        <w:lastRenderedPageBreak/>
        <w:t>has moved out of our intervention areas to attend a secondary school where the project doesn’t work</w:t>
      </w:r>
      <w:r w:rsidR="00C72CE0" w:rsidRPr="00AD7EBC">
        <w:rPr>
          <w:lang w:val="en-GB"/>
        </w:rPr>
        <w:t xml:space="preserve"> at all, then the evaluators will seek</w:t>
      </w:r>
      <w:r w:rsidRPr="00AD7EBC">
        <w:rPr>
          <w:lang w:val="en-GB"/>
        </w:rPr>
        <w:t xml:space="preserve"> to replace this girl. </w:t>
      </w:r>
    </w:p>
    <w:p w14:paraId="654A15BF" w14:textId="29F954A4" w:rsidR="00DC32DA" w:rsidRPr="00AD7EBC" w:rsidRDefault="00DC32DA" w:rsidP="00860E31">
      <w:pPr>
        <w:pStyle w:val="BodyText"/>
        <w:spacing w:before="157"/>
        <w:ind w:right="112"/>
        <w:jc w:val="both"/>
        <w:rPr>
          <w:lang w:val="en-GB"/>
        </w:rPr>
      </w:pPr>
      <w:r w:rsidRPr="00AD7EBC">
        <w:rPr>
          <w:lang w:val="en-GB"/>
        </w:rPr>
        <w:t>The</w:t>
      </w:r>
      <w:r w:rsidR="00FE490E" w:rsidRPr="00AD7EBC">
        <w:rPr>
          <w:lang w:val="en-GB"/>
        </w:rPr>
        <w:t xml:space="preserve"> evaluators</w:t>
      </w:r>
      <w:r w:rsidRPr="00AD7EBC">
        <w:rPr>
          <w:lang w:val="en-GB"/>
        </w:rPr>
        <w:t xml:space="preserve"> will be required to administer</w:t>
      </w:r>
      <w:r w:rsidR="00FE490E" w:rsidRPr="00AD7EBC">
        <w:rPr>
          <w:lang w:val="en-GB"/>
        </w:rPr>
        <w:t xml:space="preserve"> the learning tests to the girls at school</w:t>
      </w:r>
      <w:r w:rsidR="003D688A" w:rsidRPr="00AD7EBC">
        <w:rPr>
          <w:lang w:val="en-GB"/>
        </w:rPr>
        <w:t xml:space="preserve"> and AEP centres</w:t>
      </w:r>
      <w:r w:rsidR="00FE490E" w:rsidRPr="00AD7EBC">
        <w:rPr>
          <w:lang w:val="en-GB"/>
        </w:rPr>
        <w:t>, before going to their respective families and collect further information at the household level. Based on previous experience, the project is aware of a high attrition rate in re-contactin</w:t>
      </w:r>
      <w:r w:rsidRPr="00AD7EBC">
        <w:rPr>
          <w:lang w:val="en-GB"/>
        </w:rPr>
        <w:t>g the same girls over the years</w:t>
      </w:r>
      <w:r w:rsidR="00FE490E" w:rsidRPr="00AD7EBC">
        <w:rPr>
          <w:lang w:val="en-GB"/>
        </w:rPr>
        <w:t xml:space="preserve">. This is accounted for when calculating the power and the sample size in the section below (d). </w:t>
      </w:r>
    </w:p>
    <w:p w14:paraId="35D2ABF1" w14:textId="0A974878" w:rsidR="00FE490E" w:rsidRPr="00AD7EBC" w:rsidRDefault="00FE490E" w:rsidP="00860E31">
      <w:pPr>
        <w:pStyle w:val="BodyText"/>
        <w:spacing w:before="157"/>
        <w:ind w:right="112"/>
        <w:jc w:val="both"/>
        <w:rPr>
          <w:lang w:val="en-GB"/>
        </w:rPr>
      </w:pPr>
      <w:r w:rsidRPr="00AD7EBC">
        <w:rPr>
          <w:lang w:val="en-GB"/>
        </w:rPr>
        <w:t>The following table summarises our proposed learning a</w:t>
      </w:r>
      <w:r w:rsidR="00A77260" w:rsidRPr="00AD7EBC">
        <w:rPr>
          <w:lang w:val="en-GB"/>
        </w:rPr>
        <w:t>ssessment tasks by grade. To summarize</w:t>
      </w:r>
      <w:r w:rsidRPr="00AD7EBC">
        <w:rPr>
          <w:lang w:val="en-GB"/>
        </w:rPr>
        <w:t>, grades 4 and 5 will take the</w:t>
      </w:r>
      <w:r w:rsidR="00DF559F" w:rsidRPr="00AD7EBC">
        <w:rPr>
          <w:lang w:val="en-GB"/>
        </w:rPr>
        <w:t xml:space="preserve"> whole</w:t>
      </w:r>
      <w:r w:rsidRPr="00AD7EBC">
        <w:rPr>
          <w:lang w:val="en-GB"/>
        </w:rPr>
        <w:t xml:space="preserve"> EGRA and EGMA, as well as the </w:t>
      </w:r>
      <w:proofErr w:type="spellStart"/>
      <w:r w:rsidRPr="00AD7EBC">
        <w:rPr>
          <w:lang w:val="en-GB"/>
        </w:rPr>
        <w:t>SeGRA</w:t>
      </w:r>
      <w:proofErr w:type="spellEnd"/>
      <w:r w:rsidRPr="00AD7EBC">
        <w:rPr>
          <w:lang w:val="en-GB"/>
        </w:rPr>
        <w:t xml:space="preserve"> and </w:t>
      </w:r>
      <w:proofErr w:type="spellStart"/>
      <w:r w:rsidRPr="00AD7EBC">
        <w:rPr>
          <w:lang w:val="en-GB"/>
        </w:rPr>
        <w:t>SeGMA</w:t>
      </w:r>
      <w:proofErr w:type="spellEnd"/>
      <w:r w:rsidRPr="00AD7EBC">
        <w:rPr>
          <w:lang w:val="en-GB"/>
        </w:rPr>
        <w:t xml:space="preserve"> subtask 1. </w:t>
      </w:r>
      <w:r w:rsidR="00DF559F" w:rsidRPr="00AD7EBC">
        <w:rPr>
          <w:lang w:val="en-GB"/>
        </w:rPr>
        <w:t>While s</w:t>
      </w:r>
      <w:r w:rsidRPr="00AD7EBC">
        <w:rPr>
          <w:lang w:val="en-GB"/>
        </w:rPr>
        <w:t>ubtask 1 targets grades 4 and 5</w:t>
      </w:r>
      <w:r w:rsidR="00DF559F" w:rsidRPr="00AD7EBC">
        <w:rPr>
          <w:lang w:val="en-GB"/>
        </w:rPr>
        <w:t xml:space="preserve">, students in </w:t>
      </w:r>
      <w:r w:rsidR="004A6AA2" w:rsidRPr="00AD7EBC">
        <w:rPr>
          <w:lang w:val="en-GB"/>
        </w:rPr>
        <w:t>grade 6</w:t>
      </w:r>
      <w:r w:rsidRPr="00AD7EBC">
        <w:rPr>
          <w:lang w:val="en-GB"/>
        </w:rPr>
        <w:t xml:space="preserve"> will sit the </w:t>
      </w:r>
      <w:proofErr w:type="spellStart"/>
      <w:r w:rsidRPr="00AD7EBC">
        <w:rPr>
          <w:lang w:val="en-GB"/>
        </w:rPr>
        <w:t>SeGRA</w:t>
      </w:r>
      <w:proofErr w:type="spellEnd"/>
      <w:r w:rsidRPr="00AD7EBC">
        <w:rPr>
          <w:lang w:val="en-GB"/>
        </w:rPr>
        <w:t>/</w:t>
      </w:r>
      <w:proofErr w:type="spellStart"/>
      <w:r w:rsidRPr="00AD7EBC">
        <w:rPr>
          <w:lang w:val="en-GB"/>
        </w:rPr>
        <w:t>SeGMA</w:t>
      </w:r>
      <w:proofErr w:type="spellEnd"/>
      <w:r w:rsidRPr="00AD7EBC">
        <w:rPr>
          <w:lang w:val="en-GB"/>
        </w:rPr>
        <w:t xml:space="preserve"> sub-tasks 1 and 2</w:t>
      </w:r>
      <w:r w:rsidR="00A77260" w:rsidRPr="00AD7EBC">
        <w:rPr>
          <w:lang w:val="en-GB"/>
        </w:rPr>
        <w:t xml:space="preserve"> only</w:t>
      </w:r>
      <w:r w:rsidRPr="00AD7EBC">
        <w:rPr>
          <w:lang w:val="en-GB"/>
        </w:rPr>
        <w:t>.</w:t>
      </w:r>
      <w:r w:rsidR="00A24264" w:rsidRPr="00AD7EBC">
        <w:rPr>
          <w:lang w:val="en-GB"/>
        </w:rPr>
        <w:t xml:space="preserve"> AEP level 1 is equivalent</w:t>
      </w:r>
      <w:r w:rsidR="00A77260" w:rsidRPr="00AD7EBC">
        <w:rPr>
          <w:lang w:val="en-GB"/>
        </w:rPr>
        <w:t xml:space="preserve"> to grades 1 and 2 of primary education and will sit the whole EGRA and EGMA, while AEP level 2 equals to grades 3 and 4 of primary education and will sit EGRA and </w:t>
      </w:r>
      <w:proofErr w:type="spellStart"/>
      <w:r w:rsidR="00A77260" w:rsidRPr="00AD7EBC">
        <w:rPr>
          <w:lang w:val="en-GB"/>
        </w:rPr>
        <w:t>EGMa</w:t>
      </w:r>
      <w:proofErr w:type="spellEnd"/>
      <w:r w:rsidR="00A77260" w:rsidRPr="00AD7EBC">
        <w:rPr>
          <w:lang w:val="en-GB"/>
        </w:rPr>
        <w:t xml:space="preserve"> as well as subtask 1 of </w:t>
      </w:r>
      <w:proofErr w:type="spellStart"/>
      <w:r w:rsidR="00A77260" w:rsidRPr="00AD7EBC">
        <w:rPr>
          <w:lang w:val="en-GB"/>
        </w:rPr>
        <w:t>SeGRA</w:t>
      </w:r>
      <w:proofErr w:type="spellEnd"/>
      <w:r w:rsidR="00A77260" w:rsidRPr="00AD7EBC">
        <w:rPr>
          <w:lang w:val="en-GB"/>
        </w:rPr>
        <w:t xml:space="preserve"> and </w:t>
      </w:r>
      <w:proofErr w:type="spellStart"/>
      <w:r w:rsidR="00A77260" w:rsidRPr="00AD7EBC">
        <w:rPr>
          <w:lang w:val="en-GB"/>
        </w:rPr>
        <w:t>SeGMA</w:t>
      </w:r>
      <w:proofErr w:type="spellEnd"/>
      <w:r w:rsidR="00A77260" w:rsidRPr="00AD7EBC">
        <w:rPr>
          <w:lang w:val="en-GB"/>
        </w:rPr>
        <w:t>.</w:t>
      </w:r>
      <w:r w:rsidRPr="00AD7EBC">
        <w:rPr>
          <w:lang w:val="en-GB"/>
        </w:rPr>
        <w:t xml:space="preserve"> These tasks may be adjusted</w:t>
      </w:r>
      <w:r w:rsidR="00DF559F" w:rsidRPr="00AD7EBC">
        <w:rPr>
          <w:lang w:val="en-GB"/>
        </w:rPr>
        <w:t xml:space="preserve"> and re-calibrated</w:t>
      </w:r>
      <w:r w:rsidRPr="00AD7EBC">
        <w:rPr>
          <w:lang w:val="en-GB"/>
        </w:rPr>
        <w:t xml:space="preserve"> based on the results of our piloting exercise. </w:t>
      </w:r>
    </w:p>
    <w:p w14:paraId="6E1B19FC" w14:textId="77777777" w:rsidR="00FE490E" w:rsidRPr="00AD7EBC" w:rsidRDefault="00FE490E" w:rsidP="00FE490E">
      <w:pPr>
        <w:pStyle w:val="ListParagraph"/>
        <w:ind w:left="1069"/>
        <w:rPr>
          <w:color w:val="FF0000"/>
          <w:lang w:val="en-GB"/>
        </w:rPr>
      </w:pPr>
    </w:p>
    <w:tbl>
      <w:tblPr>
        <w:tblW w:w="9034" w:type="dxa"/>
        <w:tblInd w:w="134" w:type="dxa"/>
        <w:tblLook w:val="04A0" w:firstRow="1" w:lastRow="0" w:firstColumn="1" w:lastColumn="0" w:noHBand="0" w:noVBand="1"/>
      </w:tblPr>
      <w:tblGrid>
        <w:gridCol w:w="957"/>
        <w:gridCol w:w="1397"/>
        <w:gridCol w:w="2354"/>
        <w:gridCol w:w="2163"/>
        <w:gridCol w:w="2163"/>
      </w:tblGrid>
      <w:tr w:rsidR="00FE490E" w:rsidRPr="00AD7EBC" w14:paraId="61C32E29" w14:textId="77777777" w:rsidTr="004A6AA2">
        <w:trPr>
          <w:trHeight w:val="177"/>
        </w:trPr>
        <w:tc>
          <w:tcPr>
            <w:tcW w:w="9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0C0C5CB" w14:textId="77777777" w:rsidR="00FE490E" w:rsidRPr="00AD7EBC" w:rsidRDefault="00FE490E" w:rsidP="00262E48">
            <w:pPr>
              <w:rPr>
                <w:rFonts w:asciiTheme="minorHAnsi" w:hAnsiTheme="minorHAnsi"/>
                <w:lang w:val="en-GB"/>
              </w:rPr>
            </w:pPr>
            <w:r w:rsidRPr="00AD7EBC">
              <w:rPr>
                <w:rFonts w:asciiTheme="minorHAnsi" w:hAnsiTheme="minorHAnsi"/>
                <w:b/>
                <w:bCs/>
                <w:sz w:val="20"/>
                <w:szCs w:val="20"/>
                <w:lang w:val="en-GB"/>
              </w:rPr>
              <w:t>Country</w:t>
            </w:r>
            <w:r w:rsidRPr="00AD7EBC">
              <w:rPr>
                <w:rFonts w:asciiTheme="minorHAnsi" w:hAnsiTheme="minorHAnsi"/>
                <w:lang w:val="en-GB"/>
              </w:rPr>
              <w:t xml:space="preserve"> </w:t>
            </w:r>
          </w:p>
        </w:tc>
        <w:tc>
          <w:tcPr>
            <w:tcW w:w="13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E70D04B" w14:textId="77777777" w:rsidR="00FE490E" w:rsidRPr="00AD7EBC" w:rsidRDefault="00FE490E" w:rsidP="00262E48">
            <w:pPr>
              <w:rPr>
                <w:rFonts w:asciiTheme="minorHAnsi" w:hAnsiTheme="minorHAnsi"/>
                <w:lang w:val="en-GB"/>
              </w:rPr>
            </w:pPr>
            <w:r w:rsidRPr="00AD7EBC">
              <w:rPr>
                <w:rFonts w:asciiTheme="minorHAnsi" w:hAnsiTheme="minorHAnsi"/>
                <w:b/>
                <w:bCs/>
                <w:sz w:val="20"/>
                <w:szCs w:val="20"/>
                <w:lang w:val="en-GB"/>
              </w:rPr>
              <w:t>School grade at baseline</w:t>
            </w:r>
            <w:r w:rsidRPr="00AD7EBC">
              <w:rPr>
                <w:rFonts w:asciiTheme="minorHAnsi" w:hAnsiTheme="minorHAnsi"/>
                <w:lang w:val="en-GB"/>
              </w:rPr>
              <w:t xml:space="preserve"> </w:t>
            </w:r>
          </w:p>
        </w:tc>
        <w:tc>
          <w:tcPr>
            <w:tcW w:w="23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8F39506" w14:textId="125A08CD" w:rsidR="00FE490E" w:rsidRPr="00AD7EBC" w:rsidRDefault="00FE490E" w:rsidP="00DC32DA">
            <w:pPr>
              <w:jc w:val="center"/>
              <w:rPr>
                <w:rFonts w:asciiTheme="minorHAnsi" w:hAnsiTheme="minorHAnsi"/>
                <w:lang w:val="en-GB"/>
              </w:rPr>
            </w:pPr>
            <w:r w:rsidRPr="00AD7EBC">
              <w:rPr>
                <w:rFonts w:asciiTheme="minorHAnsi" w:hAnsiTheme="minorHAnsi"/>
                <w:b/>
                <w:bCs/>
                <w:sz w:val="20"/>
                <w:szCs w:val="20"/>
                <w:lang w:val="en-GB"/>
              </w:rPr>
              <w:t xml:space="preserve">Tools and subtasks to administer – Baseline </w:t>
            </w:r>
            <w:r w:rsidRPr="00AD7EBC">
              <w:rPr>
                <w:rFonts w:asciiTheme="minorHAnsi" w:hAnsiTheme="minorHAnsi"/>
                <w:b/>
                <w:bCs/>
                <w:sz w:val="20"/>
                <w:szCs w:val="20"/>
                <w:lang w:val="en-GB"/>
              </w:rPr>
              <w:br/>
              <w:t>(2018)</w:t>
            </w:r>
          </w:p>
        </w:tc>
        <w:tc>
          <w:tcPr>
            <w:tcW w:w="21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3A907D4" w14:textId="4454A43E" w:rsidR="00FE490E" w:rsidRPr="00AD7EBC" w:rsidRDefault="00FE490E" w:rsidP="00DC32DA">
            <w:pPr>
              <w:jc w:val="center"/>
              <w:rPr>
                <w:rFonts w:asciiTheme="minorHAnsi" w:hAnsiTheme="minorHAnsi"/>
                <w:lang w:val="en-GB"/>
              </w:rPr>
            </w:pPr>
            <w:r w:rsidRPr="00AD7EBC">
              <w:rPr>
                <w:rFonts w:asciiTheme="minorHAnsi" w:hAnsiTheme="minorHAnsi"/>
                <w:b/>
                <w:bCs/>
                <w:sz w:val="20"/>
                <w:szCs w:val="20"/>
                <w:lang w:val="en-GB"/>
              </w:rPr>
              <w:t>Tools and subtasks to administer – Midline (2019)</w:t>
            </w:r>
          </w:p>
        </w:tc>
        <w:tc>
          <w:tcPr>
            <w:tcW w:w="21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9E4B7F" w14:textId="1BF49DE5" w:rsidR="00FE490E" w:rsidRPr="00AD7EBC" w:rsidRDefault="00FE490E" w:rsidP="00DC32DA">
            <w:pPr>
              <w:jc w:val="center"/>
              <w:rPr>
                <w:rFonts w:asciiTheme="minorHAnsi" w:hAnsiTheme="minorHAnsi"/>
                <w:lang w:val="en-GB"/>
              </w:rPr>
            </w:pPr>
            <w:r w:rsidRPr="00AD7EBC">
              <w:rPr>
                <w:rFonts w:asciiTheme="minorHAnsi" w:hAnsiTheme="minorHAnsi"/>
                <w:b/>
                <w:bCs/>
                <w:sz w:val="20"/>
                <w:szCs w:val="20"/>
                <w:lang w:val="en-GB"/>
              </w:rPr>
              <w:t>Tools and subtasks to administer – Endline</w:t>
            </w:r>
            <w:r w:rsidRPr="00AD7EBC">
              <w:rPr>
                <w:rFonts w:asciiTheme="minorHAnsi" w:hAnsiTheme="minorHAnsi"/>
                <w:lang w:val="en-GB"/>
              </w:rPr>
              <w:t xml:space="preserve"> </w:t>
            </w:r>
            <w:r w:rsidRPr="00AD7EBC">
              <w:rPr>
                <w:rFonts w:asciiTheme="minorHAnsi" w:hAnsiTheme="minorHAnsi"/>
                <w:b/>
                <w:bCs/>
                <w:sz w:val="20"/>
                <w:szCs w:val="20"/>
                <w:lang w:val="en-GB"/>
              </w:rPr>
              <w:br/>
              <w:t>(2021)</w:t>
            </w:r>
          </w:p>
        </w:tc>
      </w:tr>
      <w:tr w:rsidR="003D688A" w:rsidRPr="00AD7EBC" w14:paraId="5223D44E" w14:textId="77777777" w:rsidTr="00AB15C1">
        <w:trPr>
          <w:trHeight w:val="649"/>
        </w:trPr>
        <w:tc>
          <w:tcPr>
            <w:tcW w:w="957" w:type="dxa"/>
            <w:vMerge w:val="restart"/>
            <w:tcBorders>
              <w:top w:val="single" w:sz="6" w:space="0" w:color="000000"/>
              <w:left w:val="single" w:sz="6" w:space="0" w:color="000000"/>
              <w:right w:val="single" w:sz="6" w:space="0" w:color="000000"/>
            </w:tcBorders>
            <w:tcMar>
              <w:top w:w="0" w:type="dxa"/>
              <w:left w:w="0" w:type="dxa"/>
              <w:bottom w:w="0" w:type="dxa"/>
              <w:right w:w="0" w:type="dxa"/>
            </w:tcMar>
            <w:hideMark/>
          </w:tcPr>
          <w:p w14:paraId="17CED1BC" w14:textId="04D8EEF4" w:rsidR="003D688A" w:rsidRPr="00AD7EBC" w:rsidRDefault="003D688A" w:rsidP="00262E48">
            <w:pPr>
              <w:rPr>
                <w:rFonts w:asciiTheme="minorHAnsi" w:hAnsiTheme="minorHAnsi"/>
                <w:lang w:val="en-GB"/>
              </w:rPr>
            </w:pPr>
            <w:r w:rsidRPr="00AD7EBC">
              <w:rPr>
                <w:rFonts w:asciiTheme="minorHAnsi" w:hAnsiTheme="minorHAnsi"/>
                <w:sz w:val="20"/>
                <w:szCs w:val="20"/>
                <w:lang w:val="en-GB"/>
              </w:rPr>
              <w:t xml:space="preserve">D.R. Congo </w:t>
            </w:r>
          </w:p>
        </w:tc>
        <w:tc>
          <w:tcPr>
            <w:tcW w:w="13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450CFEB" w14:textId="77777777" w:rsidR="003D688A" w:rsidRPr="00AD7EBC" w:rsidRDefault="003D688A" w:rsidP="00262E48">
            <w:pPr>
              <w:rPr>
                <w:rFonts w:asciiTheme="minorHAnsi" w:hAnsiTheme="minorHAnsi"/>
                <w:lang w:val="en-GB"/>
              </w:rPr>
            </w:pPr>
            <w:r w:rsidRPr="00AD7EBC">
              <w:rPr>
                <w:rFonts w:asciiTheme="minorHAnsi" w:hAnsiTheme="minorHAnsi"/>
                <w:sz w:val="20"/>
                <w:szCs w:val="20"/>
                <w:lang w:val="en-GB"/>
              </w:rPr>
              <w:t>Primary grade 4</w:t>
            </w:r>
            <w:r w:rsidRPr="00AD7EBC">
              <w:rPr>
                <w:rFonts w:asciiTheme="minorHAnsi" w:hAnsiTheme="minorHAnsi"/>
                <w:lang w:val="en-GB"/>
              </w:rPr>
              <w:t xml:space="preserve"> </w:t>
            </w:r>
          </w:p>
        </w:tc>
        <w:tc>
          <w:tcPr>
            <w:tcW w:w="23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DBAE1BF" w14:textId="5B4C3ED2" w:rsidR="003D688A" w:rsidRPr="00AD7EBC" w:rsidRDefault="003D688A" w:rsidP="00262E48">
            <w:pPr>
              <w:rPr>
                <w:rFonts w:asciiTheme="minorHAnsi" w:hAnsiTheme="minorHAnsi"/>
                <w:iCs/>
                <w:sz w:val="20"/>
                <w:szCs w:val="20"/>
                <w:lang w:val="en-GB"/>
              </w:rPr>
            </w:pPr>
            <w:r w:rsidRPr="00AD7EBC">
              <w:rPr>
                <w:rFonts w:asciiTheme="minorHAnsi" w:hAnsiTheme="minorHAnsi"/>
                <w:iCs/>
                <w:sz w:val="20"/>
                <w:szCs w:val="20"/>
                <w:lang w:val="en-GB"/>
              </w:rPr>
              <w:t>All EGRA+EGMA subtasks</w:t>
            </w:r>
          </w:p>
          <w:p w14:paraId="557313FC" w14:textId="77777777" w:rsidR="003D688A" w:rsidRPr="00AD7EBC" w:rsidRDefault="003D688A" w:rsidP="00262E48">
            <w:pPr>
              <w:rPr>
                <w:rFonts w:asciiTheme="minorHAnsi" w:hAnsiTheme="minorHAnsi"/>
                <w:lang w:val="en-GB"/>
              </w:rPr>
            </w:pPr>
            <w:proofErr w:type="spellStart"/>
            <w:r w:rsidRPr="00AD7EBC">
              <w:rPr>
                <w:rFonts w:asciiTheme="minorHAnsi" w:hAnsiTheme="minorHAnsi"/>
                <w:iCs/>
                <w:sz w:val="20"/>
                <w:szCs w:val="20"/>
                <w:lang w:val="en-GB"/>
              </w:rPr>
              <w:t>SeGRA</w:t>
            </w:r>
            <w:proofErr w:type="spellEnd"/>
            <w:r w:rsidRPr="00AD7EBC">
              <w:rPr>
                <w:rFonts w:asciiTheme="minorHAnsi" w:hAnsiTheme="minorHAnsi"/>
                <w:iCs/>
                <w:sz w:val="20"/>
                <w:szCs w:val="20"/>
                <w:lang w:val="en-GB"/>
              </w:rPr>
              <w:t xml:space="preserve"> 1 + </w:t>
            </w:r>
            <w:proofErr w:type="spellStart"/>
            <w:r w:rsidRPr="00AD7EBC">
              <w:rPr>
                <w:rFonts w:asciiTheme="minorHAnsi" w:hAnsiTheme="minorHAnsi"/>
                <w:iCs/>
                <w:sz w:val="20"/>
                <w:szCs w:val="20"/>
                <w:lang w:val="en-GB"/>
              </w:rPr>
              <w:t>SeGMA</w:t>
            </w:r>
            <w:proofErr w:type="spellEnd"/>
            <w:r w:rsidRPr="00AD7EBC">
              <w:rPr>
                <w:rFonts w:asciiTheme="minorHAnsi" w:hAnsiTheme="minorHAnsi"/>
                <w:iCs/>
                <w:sz w:val="20"/>
                <w:szCs w:val="20"/>
                <w:lang w:val="en-GB"/>
              </w:rPr>
              <w:t xml:space="preserve"> 1</w:t>
            </w:r>
            <w:r w:rsidRPr="00AD7EBC">
              <w:rPr>
                <w:rFonts w:asciiTheme="minorHAnsi" w:hAnsiTheme="minorHAnsi"/>
                <w:lang w:val="en-GB"/>
              </w:rPr>
              <w:t xml:space="preserve">  </w:t>
            </w:r>
          </w:p>
        </w:tc>
        <w:tc>
          <w:tcPr>
            <w:tcW w:w="21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7E5EA61" w14:textId="268B1442" w:rsidR="003D688A" w:rsidRPr="00AD7EBC" w:rsidRDefault="003D688A" w:rsidP="00262E48">
            <w:pPr>
              <w:rPr>
                <w:rFonts w:asciiTheme="minorHAnsi" w:hAnsiTheme="minorHAnsi"/>
                <w:iCs/>
                <w:sz w:val="20"/>
                <w:szCs w:val="20"/>
                <w:lang w:val="en-GB"/>
              </w:rPr>
            </w:pPr>
            <w:r w:rsidRPr="00AD7EBC">
              <w:rPr>
                <w:rFonts w:asciiTheme="minorHAnsi" w:hAnsiTheme="minorHAnsi"/>
                <w:iCs/>
                <w:sz w:val="20"/>
                <w:szCs w:val="20"/>
                <w:lang w:val="en-GB"/>
              </w:rPr>
              <w:t>All EGRA+EGMA subtasks</w:t>
            </w:r>
          </w:p>
          <w:p w14:paraId="0A5D6E13" w14:textId="77777777" w:rsidR="003D688A" w:rsidRPr="00AD7EBC" w:rsidRDefault="003D688A" w:rsidP="00262E48">
            <w:pPr>
              <w:rPr>
                <w:rFonts w:asciiTheme="minorHAnsi" w:hAnsiTheme="minorHAnsi"/>
                <w:lang w:val="en-GB"/>
              </w:rPr>
            </w:pPr>
            <w:proofErr w:type="spellStart"/>
            <w:r w:rsidRPr="00AD7EBC">
              <w:rPr>
                <w:rFonts w:asciiTheme="minorHAnsi" w:hAnsiTheme="minorHAnsi"/>
                <w:iCs/>
                <w:sz w:val="20"/>
                <w:szCs w:val="20"/>
                <w:lang w:val="en-GB"/>
              </w:rPr>
              <w:t>SeGRA</w:t>
            </w:r>
            <w:proofErr w:type="spellEnd"/>
            <w:r w:rsidRPr="00AD7EBC">
              <w:rPr>
                <w:rFonts w:asciiTheme="minorHAnsi" w:hAnsiTheme="minorHAnsi"/>
                <w:iCs/>
                <w:sz w:val="20"/>
                <w:szCs w:val="20"/>
                <w:lang w:val="en-GB"/>
              </w:rPr>
              <w:t xml:space="preserve"> 1 + </w:t>
            </w:r>
            <w:proofErr w:type="spellStart"/>
            <w:r w:rsidRPr="00AD7EBC">
              <w:rPr>
                <w:rFonts w:asciiTheme="minorHAnsi" w:hAnsiTheme="minorHAnsi"/>
                <w:iCs/>
                <w:sz w:val="20"/>
                <w:szCs w:val="20"/>
                <w:lang w:val="en-GB"/>
              </w:rPr>
              <w:t>SeGMA</w:t>
            </w:r>
            <w:proofErr w:type="spellEnd"/>
            <w:r w:rsidRPr="00AD7EBC">
              <w:rPr>
                <w:rFonts w:asciiTheme="minorHAnsi" w:hAnsiTheme="minorHAnsi"/>
                <w:iCs/>
                <w:sz w:val="20"/>
                <w:szCs w:val="20"/>
                <w:lang w:val="en-GB"/>
              </w:rPr>
              <w:t xml:space="preserve"> 1</w:t>
            </w:r>
            <w:r w:rsidRPr="00AD7EBC">
              <w:rPr>
                <w:rFonts w:asciiTheme="minorHAnsi" w:hAnsiTheme="minorHAnsi"/>
                <w:lang w:val="en-GB"/>
              </w:rPr>
              <w:t xml:space="preserve">  </w:t>
            </w:r>
          </w:p>
        </w:tc>
        <w:tc>
          <w:tcPr>
            <w:tcW w:w="21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C396D53" w14:textId="09F7EA1F" w:rsidR="003D688A" w:rsidRPr="00AD7EBC" w:rsidRDefault="003D688A" w:rsidP="00262E48">
            <w:pPr>
              <w:rPr>
                <w:rFonts w:asciiTheme="minorHAnsi" w:hAnsiTheme="minorHAnsi"/>
                <w:lang w:val="en-GB"/>
              </w:rPr>
            </w:pPr>
            <w:proofErr w:type="spellStart"/>
            <w:r w:rsidRPr="00AD7EBC">
              <w:rPr>
                <w:rFonts w:asciiTheme="minorHAnsi" w:hAnsiTheme="minorHAnsi"/>
                <w:iCs/>
                <w:sz w:val="20"/>
                <w:szCs w:val="20"/>
                <w:lang w:val="en-GB"/>
              </w:rPr>
              <w:t>SeGRA</w:t>
            </w:r>
            <w:proofErr w:type="spellEnd"/>
            <w:r w:rsidRPr="00AD7EBC">
              <w:rPr>
                <w:rFonts w:asciiTheme="minorHAnsi" w:hAnsiTheme="minorHAnsi"/>
                <w:iCs/>
                <w:sz w:val="20"/>
                <w:szCs w:val="20"/>
                <w:lang w:val="en-GB"/>
              </w:rPr>
              <w:t xml:space="preserve"> 1 &amp; 2 + </w:t>
            </w:r>
            <w:proofErr w:type="spellStart"/>
            <w:r w:rsidRPr="00AD7EBC">
              <w:rPr>
                <w:rFonts w:asciiTheme="minorHAnsi" w:hAnsiTheme="minorHAnsi"/>
                <w:iCs/>
                <w:sz w:val="20"/>
                <w:szCs w:val="20"/>
                <w:lang w:val="en-GB"/>
              </w:rPr>
              <w:t>SeGMA</w:t>
            </w:r>
            <w:proofErr w:type="spellEnd"/>
            <w:r w:rsidRPr="00AD7EBC">
              <w:rPr>
                <w:rFonts w:asciiTheme="minorHAnsi" w:hAnsiTheme="minorHAnsi"/>
                <w:iCs/>
                <w:sz w:val="20"/>
                <w:szCs w:val="20"/>
                <w:lang w:val="en-GB"/>
              </w:rPr>
              <w:t xml:space="preserve"> 1</w:t>
            </w:r>
            <w:r w:rsidRPr="00AD7EBC">
              <w:rPr>
                <w:rFonts w:asciiTheme="minorHAnsi" w:hAnsiTheme="minorHAnsi"/>
                <w:lang w:val="en-GB"/>
              </w:rPr>
              <w:t xml:space="preserve"> </w:t>
            </w:r>
            <w:r w:rsidRPr="00AD7EBC">
              <w:rPr>
                <w:rFonts w:asciiTheme="minorHAnsi" w:hAnsiTheme="minorHAnsi"/>
                <w:sz w:val="20"/>
                <w:lang w:val="en-GB"/>
              </w:rPr>
              <w:t xml:space="preserve">&amp; 2 </w:t>
            </w:r>
          </w:p>
        </w:tc>
      </w:tr>
      <w:tr w:rsidR="003D688A" w:rsidRPr="00AD7EBC" w14:paraId="12D1584A" w14:textId="77777777" w:rsidTr="00AB15C1">
        <w:trPr>
          <w:trHeight w:val="701"/>
        </w:trPr>
        <w:tc>
          <w:tcPr>
            <w:tcW w:w="957" w:type="dxa"/>
            <w:vMerge/>
            <w:tcBorders>
              <w:left w:val="single" w:sz="6" w:space="0" w:color="000000"/>
              <w:right w:val="single" w:sz="6" w:space="0" w:color="000000"/>
            </w:tcBorders>
            <w:vAlign w:val="center"/>
            <w:hideMark/>
          </w:tcPr>
          <w:p w14:paraId="4394954B" w14:textId="77777777" w:rsidR="003D688A" w:rsidRPr="00AD7EBC" w:rsidRDefault="003D688A" w:rsidP="00262E48">
            <w:pPr>
              <w:rPr>
                <w:rFonts w:asciiTheme="minorHAnsi" w:hAnsiTheme="minorHAnsi" w:cs="Times New Roman"/>
                <w:sz w:val="24"/>
                <w:szCs w:val="24"/>
                <w:lang w:val="en-GB"/>
              </w:rPr>
            </w:pPr>
          </w:p>
        </w:tc>
        <w:tc>
          <w:tcPr>
            <w:tcW w:w="13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63039BC" w14:textId="77777777" w:rsidR="003D688A" w:rsidRPr="00AD7EBC" w:rsidRDefault="003D688A" w:rsidP="00262E48">
            <w:pPr>
              <w:rPr>
                <w:rFonts w:asciiTheme="minorHAnsi" w:hAnsiTheme="minorHAnsi"/>
                <w:lang w:val="en-GB"/>
              </w:rPr>
            </w:pPr>
            <w:r w:rsidRPr="00AD7EBC">
              <w:rPr>
                <w:rFonts w:asciiTheme="minorHAnsi" w:hAnsiTheme="minorHAnsi"/>
                <w:sz w:val="20"/>
                <w:szCs w:val="20"/>
                <w:lang w:val="en-GB"/>
              </w:rPr>
              <w:t xml:space="preserve">Primary grade 5 </w:t>
            </w:r>
          </w:p>
        </w:tc>
        <w:tc>
          <w:tcPr>
            <w:tcW w:w="23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B8FEDBE" w14:textId="77777777" w:rsidR="003D688A" w:rsidRPr="00AD7EBC" w:rsidRDefault="003D688A" w:rsidP="00262E48">
            <w:pPr>
              <w:rPr>
                <w:rFonts w:asciiTheme="minorHAnsi" w:hAnsiTheme="minorHAnsi"/>
                <w:iCs/>
                <w:sz w:val="20"/>
                <w:szCs w:val="20"/>
                <w:lang w:val="en-GB"/>
              </w:rPr>
            </w:pPr>
            <w:r w:rsidRPr="00AD7EBC">
              <w:rPr>
                <w:rFonts w:asciiTheme="minorHAnsi" w:hAnsiTheme="minorHAnsi"/>
                <w:iCs/>
                <w:sz w:val="20"/>
                <w:szCs w:val="20"/>
                <w:lang w:val="en-GB"/>
              </w:rPr>
              <w:t>All EGRA EGMA subtasks</w:t>
            </w:r>
          </w:p>
          <w:p w14:paraId="1BA06891" w14:textId="77777777" w:rsidR="003D688A" w:rsidRPr="00AD7EBC" w:rsidRDefault="003D688A" w:rsidP="00262E48">
            <w:pPr>
              <w:rPr>
                <w:rFonts w:asciiTheme="minorHAnsi" w:hAnsiTheme="minorHAnsi"/>
                <w:lang w:val="en-GB"/>
              </w:rPr>
            </w:pPr>
            <w:r w:rsidRPr="00AD7EBC">
              <w:rPr>
                <w:rFonts w:asciiTheme="minorHAnsi" w:hAnsiTheme="minorHAnsi"/>
                <w:iCs/>
                <w:sz w:val="20"/>
                <w:szCs w:val="20"/>
                <w:lang w:val="en-GB"/>
              </w:rPr>
              <w:t xml:space="preserve">+ </w:t>
            </w:r>
            <w:proofErr w:type="spellStart"/>
            <w:r w:rsidRPr="00AD7EBC">
              <w:rPr>
                <w:rFonts w:asciiTheme="minorHAnsi" w:hAnsiTheme="minorHAnsi"/>
                <w:iCs/>
                <w:sz w:val="20"/>
                <w:szCs w:val="20"/>
                <w:lang w:val="en-GB"/>
              </w:rPr>
              <w:t>SeGRA</w:t>
            </w:r>
            <w:proofErr w:type="spellEnd"/>
            <w:r w:rsidRPr="00AD7EBC">
              <w:rPr>
                <w:rFonts w:asciiTheme="minorHAnsi" w:hAnsiTheme="minorHAnsi"/>
                <w:iCs/>
                <w:sz w:val="20"/>
                <w:szCs w:val="20"/>
                <w:lang w:val="en-GB"/>
              </w:rPr>
              <w:t xml:space="preserve"> 1 + </w:t>
            </w:r>
            <w:proofErr w:type="spellStart"/>
            <w:r w:rsidRPr="00AD7EBC">
              <w:rPr>
                <w:rFonts w:asciiTheme="minorHAnsi" w:hAnsiTheme="minorHAnsi"/>
                <w:iCs/>
                <w:sz w:val="20"/>
                <w:szCs w:val="20"/>
                <w:lang w:val="en-GB"/>
              </w:rPr>
              <w:t>SeGMA</w:t>
            </w:r>
            <w:proofErr w:type="spellEnd"/>
            <w:r w:rsidRPr="00AD7EBC">
              <w:rPr>
                <w:rFonts w:asciiTheme="minorHAnsi" w:hAnsiTheme="minorHAnsi"/>
                <w:iCs/>
                <w:sz w:val="20"/>
                <w:szCs w:val="20"/>
                <w:lang w:val="en-GB"/>
              </w:rPr>
              <w:t xml:space="preserve"> 1</w:t>
            </w:r>
            <w:r w:rsidRPr="00AD7EBC">
              <w:rPr>
                <w:rFonts w:asciiTheme="minorHAnsi" w:hAnsiTheme="minorHAnsi"/>
                <w:lang w:val="en-GB"/>
              </w:rPr>
              <w:t xml:space="preserve"> </w:t>
            </w:r>
            <w:r w:rsidRPr="00AD7EBC">
              <w:rPr>
                <w:rFonts w:asciiTheme="minorHAnsi" w:hAnsiTheme="minorHAnsi"/>
                <w:iCs/>
                <w:sz w:val="20"/>
                <w:szCs w:val="20"/>
                <w:lang w:val="en-GB"/>
              </w:rPr>
              <w:t xml:space="preserve"> </w:t>
            </w:r>
          </w:p>
        </w:tc>
        <w:tc>
          <w:tcPr>
            <w:tcW w:w="21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9D3611" w14:textId="57B0CB1C" w:rsidR="003D688A" w:rsidRPr="00AD7EBC" w:rsidRDefault="003D688A" w:rsidP="00262E48">
            <w:pPr>
              <w:rPr>
                <w:rFonts w:asciiTheme="minorHAnsi" w:hAnsiTheme="minorHAnsi"/>
                <w:lang w:val="en-GB"/>
              </w:rPr>
            </w:pPr>
            <w:proofErr w:type="spellStart"/>
            <w:r w:rsidRPr="00AD7EBC">
              <w:rPr>
                <w:rFonts w:asciiTheme="minorHAnsi" w:hAnsiTheme="minorHAnsi"/>
                <w:iCs/>
                <w:sz w:val="20"/>
                <w:szCs w:val="20"/>
                <w:lang w:val="en-GB"/>
              </w:rPr>
              <w:t>SeGRA</w:t>
            </w:r>
            <w:proofErr w:type="spellEnd"/>
            <w:r w:rsidRPr="00AD7EBC">
              <w:rPr>
                <w:rFonts w:asciiTheme="minorHAnsi" w:hAnsiTheme="minorHAnsi"/>
                <w:iCs/>
                <w:sz w:val="20"/>
                <w:szCs w:val="20"/>
                <w:lang w:val="en-GB"/>
              </w:rPr>
              <w:t xml:space="preserve"> 1&amp;2 + </w:t>
            </w:r>
            <w:proofErr w:type="spellStart"/>
            <w:r w:rsidRPr="00AD7EBC">
              <w:rPr>
                <w:rFonts w:asciiTheme="minorHAnsi" w:hAnsiTheme="minorHAnsi"/>
                <w:iCs/>
                <w:sz w:val="20"/>
                <w:szCs w:val="20"/>
                <w:lang w:val="en-GB"/>
              </w:rPr>
              <w:t>SeGMA</w:t>
            </w:r>
            <w:proofErr w:type="spellEnd"/>
            <w:r w:rsidRPr="00AD7EBC">
              <w:rPr>
                <w:rFonts w:asciiTheme="minorHAnsi" w:hAnsiTheme="minorHAnsi"/>
                <w:iCs/>
                <w:sz w:val="20"/>
                <w:szCs w:val="20"/>
                <w:lang w:val="en-GB"/>
              </w:rPr>
              <w:t xml:space="preserve"> 1&amp;2</w:t>
            </w:r>
            <w:r w:rsidRPr="00AD7EBC">
              <w:rPr>
                <w:rFonts w:asciiTheme="minorHAnsi" w:hAnsiTheme="minorHAnsi"/>
                <w:lang w:val="en-GB"/>
              </w:rPr>
              <w:t xml:space="preserve">  </w:t>
            </w:r>
          </w:p>
        </w:tc>
        <w:tc>
          <w:tcPr>
            <w:tcW w:w="21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7AD6A3C" w14:textId="08A9E8EC" w:rsidR="003D688A" w:rsidRPr="00AD7EBC" w:rsidRDefault="003D688A" w:rsidP="00262E48">
            <w:pPr>
              <w:rPr>
                <w:rFonts w:asciiTheme="minorHAnsi" w:hAnsiTheme="minorHAnsi"/>
                <w:lang w:val="en-GB"/>
              </w:rPr>
            </w:pPr>
            <w:proofErr w:type="spellStart"/>
            <w:r w:rsidRPr="00AD7EBC">
              <w:rPr>
                <w:rFonts w:asciiTheme="minorHAnsi" w:hAnsiTheme="minorHAnsi"/>
                <w:iCs/>
                <w:sz w:val="20"/>
                <w:szCs w:val="20"/>
                <w:lang w:val="en-GB"/>
              </w:rPr>
              <w:t>SeGRA</w:t>
            </w:r>
            <w:proofErr w:type="spellEnd"/>
            <w:r w:rsidRPr="00AD7EBC">
              <w:rPr>
                <w:rFonts w:asciiTheme="minorHAnsi" w:hAnsiTheme="minorHAnsi"/>
                <w:iCs/>
                <w:sz w:val="20"/>
                <w:szCs w:val="20"/>
                <w:lang w:val="en-GB"/>
              </w:rPr>
              <w:t xml:space="preserve"> 1&amp;2 + </w:t>
            </w:r>
            <w:proofErr w:type="spellStart"/>
            <w:r w:rsidRPr="00AD7EBC">
              <w:rPr>
                <w:rFonts w:asciiTheme="minorHAnsi" w:hAnsiTheme="minorHAnsi"/>
                <w:iCs/>
                <w:sz w:val="20"/>
                <w:szCs w:val="20"/>
                <w:lang w:val="en-GB"/>
              </w:rPr>
              <w:t>SeGMA</w:t>
            </w:r>
            <w:proofErr w:type="spellEnd"/>
            <w:r w:rsidRPr="00AD7EBC">
              <w:rPr>
                <w:rFonts w:asciiTheme="minorHAnsi" w:hAnsiTheme="minorHAnsi"/>
                <w:iCs/>
                <w:sz w:val="20"/>
                <w:szCs w:val="20"/>
                <w:lang w:val="en-GB"/>
              </w:rPr>
              <w:t xml:space="preserve"> 1&amp;2</w:t>
            </w:r>
            <w:r w:rsidRPr="00AD7EBC">
              <w:rPr>
                <w:rFonts w:asciiTheme="minorHAnsi" w:hAnsiTheme="minorHAnsi"/>
                <w:lang w:val="en-GB"/>
              </w:rPr>
              <w:t xml:space="preserve">  </w:t>
            </w:r>
          </w:p>
        </w:tc>
      </w:tr>
      <w:tr w:rsidR="003D688A" w:rsidRPr="00AD7EBC" w14:paraId="24BA3251" w14:textId="77777777" w:rsidTr="00AB15C1">
        <w:trPr>
          <w:trHeight w:val="542"/>
        </w:trPr>
        <w:tc>
          <w:tcPr>
            <w:tcW w:w="957" w:type="dxa"/>
            <w:vMerge/>
            <w:tcBorders>
              <w:left w:val="single" w:sz="6" w:space="0" w:color="000000"/>
              <w:right w:val="single" w:sz="6" w:space="0" w:color="000000"/>
            </w:tcBorders>
            <w:vAlign w:val="center"/>
            <w:hideMark/>
          </w:tcPr>
          <w:p w14:paraId="0434D638" w14:textId="77777777" w:rsidR="003D688A" w:rsidRPr="00AD7EBC" w:rsidRDefault="003D688A" w:rsidP="00262E48">
            <w:pPr>
              <w:rPr>
                <w:rFonts w:asciiTheme="minorHAnsi" w:hAnsiTheme="minorHAnsi" w:cs="Times New Roman"/>
                <w:sz w:val="24"/>
                <w:szCs w:val="24"/>
                <w:lang w:val="en-GB"/>
              </w:rPr>
            </w:pPr>
          </w:p>
        </w:tc>
        <w:tc>
          <w:tcPr>
            <w:tcW w:w="13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A0AD2D2" w14:textId="77777777" w:rsidR="003D688A" w:rsidRPr="00AD7EBC" w:rsidRDefault="003D688A" w:rsidP="00262E48">
            <w:pPr>
              <w:rPr>
                <w:rFonts w:asciiTheme="minorHAnsi" w:hAnsiTheme="minorHAnsi"/>
                <w:lang w:val="en-GB"/>
              </w:rPr>
            </w:pPr>
            <w:r w:rsidRPr="00AD7EBC">
              <w:rPr>
                <w:rFonts w:asciiTheme="minorHAnsi" w:hAnsiTheme="minorHAnsi"/>
                <w:sz w:val="20"/>
                <w:szCs w:val="20"/>
                <w:lang w:val="en-GB"/>
              </w:rPr>
              <w:t>Primary grade 6</w:t>
            </w:r>
            <w:r w:rsidRPr="00AD7EBC">
              <w:rPr>
                <w:rFonts w:asciiTheme="minorHAnsi" w:hAnsiTheme="minorHAnsi"/>
                <w:lang w:val="en-GB"/>
              </w:rPr>
              <w:t xml:space="preserve"> </w:t>
            </w:r>
          </w:p>
        </w:tc>
        <w:tc>
          <w:tcPr>
            <w:tcW w:w="23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C46B023" w14:textId="77777777" w:rsidR="003D688A" w:rsidRPr="00AD7EBC" w:rsidRDefault="003D688A" w:rsidP="00262E48">
            <w:pPr>
              <w:rPr>
                <w:rFonts w:asciiTheme="minorHAnsi" w:hAnsiTheme="minorHAnsi"/>
                <w:lang w:val="en-GB"/>
              </w:rPr>
            </w:pPr>
            <w:proofErr w:type="spellStart"/>
            <w:r w:rsidRPr="00AD7EBC">
              <w:rPr>
                <w:rFonts w:asciiTheme="minorHAnsi" w:hAnsiTheme="minorHAnsi"/>
                <w:iCs/>
                <w:sz w:val="20"/>
                <w:szCs w:val="20"/>
                <w:lang w:val="en-GB"/>
              </w:rPr>
              <w:t>SeGRA</w:t>
            </w:r>
            <w:proofErr w:type="spellEnd"/>
            <w:r w:rsidRPr="00AD7EBC">
              <w:rPr>
                <w:rFonts w:asciiTheme="minorHAnsi" w:hAnsiTheme="minorHAnsi"/>
                <w:iCs/>
                <w:sz w:val="20"/>
                <w:szCs w:val="20"/>
                <w:lang w:val="en-GB"/>
              </w:rPr>
              <w:t xml:space="preserve"> 1, 2 + </w:t>
            </w:r>
            <w:proofErr w:type="spellStart"/>
            <w:r w:rsidRPr="00AD7EBC">
              <w:rPr>
                <w:rFonts w:asciiTheme="minorHAnsi" w:hAnsiTheme="minorHAnsi"/>
                <w:iCs/>
                <w:sz w:val="20"/>
                <w:szCs w:val="20"/>
                <w:lang w:val="en-GB"/>
              </w:rPr>
              <w:t>SeGMA</w:t>
            </w:r>
            <w:proofErr w:type="spellEnd"/>
            <w:r w:rsidRPr="00AD7EBC">
              <w:rPr>
                <w:rFonts w:asciiTheme="minorHAnsi" w:hAnsiTheme="minorHAnsi"/>
                <w:iCs/>
                <w:sz w:val="20"/>
                <w:szCs w:val="20"/>
                <w:lang w:val="en-GB"/>
              </w:rPr>
              <w:t xml:space="preserve"> 1, 2</w:t>
            </w:r>
            <w:r w:rsidRPr="00AD7EBC">
              <w:rPr>
                <w:rFonts w:asciiTheme="minorHAnsi" w:hAnsiTheme="minorHAnsi"/>
                <w:lang w:val="en-GB"/>
              </w:rPr>
              <w:t xml:space="preserve"> </w:t>
            </w:r>
          </w:p>
        </w:tc>
        <w:tc>
          <w:tcPr>
            <w:tcW w:w="21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9EB055" w14:textId="77777777" w:rsidR="003D688A" w:rsidRPr="00AD7EBC" w:rsidRDefault="003D688A" w:rsidP="00262E48">
            <w:pPr>
              <w:rPr>
                <w:rFonts w:asciiTheme="minorHAnsi" w:hAnsiTheme="minorHAnsi"/>
                <w:lang w:val="en-GB"/>
              </w:rPr>
            </w:pPr>
            <w:proofErr w:type="spellStart"/>
            <w:r w:rsidRPr="00AD7EBC">
              <w:rPr>
                <w:rFonts w:asciiTheme="minorHAnsi" w:hAnsiTheme="minorHAnsi"/>
                <w:iCs/>
                <w:sz w:val="20"/>
                <w:szCs w:val="20"/>
                <w:lang w:val="en-GB"/>
              </w:rPr>
              <w:t>SeGRA</w:t>
            </w:r>
            <w:proofErr w:type="spellEnd"/>
            <w:r w:rsidRPr="00AD7EBC">
              <w:rPr>
                <w:rFonts w:asciiTheme="minorHAnsi" w:hAnsiTheme="minorHAnsi"/>
                <w:iCs/>
                <w:sz w:val="20"/>
                <w:szCs w:val="20"/>
                <w:lang w:val="en-GB"/>
              </w:rPr>
              <w:t xml:space="preserve"> 1,2 + </w:t>
            </w:r>
            <w:proofErr w:type="spellStart"/>
            <w:r w:rsidRPr="00AD7EBC">
              <w:rPr>
                <w:rFonts w:asciiTheme="minorHAnsi" w:hAnsiTheme="minorHAnsi"/>
                <w:iCs/>
                <w:sz w:val="20"/>
                <w:szCs w:val="20"/>
                <w:lang w:val="en-GB"/>
              </w:rPr>
              <w:t>SeGMA</w:t>
            </w:r>
            <w:proofErr w:type="spellEnd"/>
            <w:r w:rsidRPr="00AD7EBC">
              <w:rPr>
                <w:rFonts w:asciiTheme="minorHAnsi" w:hAnsiTheme="minorHAnsi"/>
                <w:iCs/>
                <w:sz w:val="20"/>
                <w:szCs w:val="20"/>
                <w:lang w:val="en-GB"/>
              </w:rPr>
              <w:t xml:space="preserve"> 1,2</w:t>
            </w:r>
          </w:p>
        </w:tc>
        <w:tc>
          <w:tcPr>
            <w:tcW w:w="21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BC44C91" w14:textId="77777777" w:rsidR="003D688A" w:rsidRPr="00AD7EBC" w:rsidRDefault="003D688A" w:rsidP="00262E48">
            <w:pPr>
              <w:rPr>
                <w:rFonts w:asciiTheme="minorHAnsi" w:hAnsiTheme="minorHAnsi"/>
                <w:lang w:val="en-GB"/>
              </w:rPr>
            </w:pPr>
            <w:proofErr w:type="spellStart"/>
            <w:r w:rsidRPr="00AD7EBC">
              <w:rPr>
                <w:rFonts w:asciiTheme="minorHAnsi" w:hAnsiTheme="minorHAnsi"/>
                <w:iCs/>
                <w:sz w:val="20"/>
                <w:szCs w:val="20"/>
                <w:lang w:val="en-GB"/>
              </w:rPr>
              <w:t>SeGRA</w:t>
            </w:r>
            <w:proofErr w:type="spellEnd"/>
            <w:r w:rsidRPr="00AD7EBC">
              <w:rPr>
                <w:rFonts w:asciiTheme="minorHAnsi" w:hAnsiTheme="minorHAnsi"/>
                <w:iCs/>
                <w:sz w:val="20"/>
                <w:szCs w:val="20"/>
                <w:lang w:val="en-GB"/>
              </w:rPr>
              <w:t xml:space="preserve"> 1,2 + </w:t>
            </w:r>
            <w:proofErr w:type="spellStart"/>
            <w:r w:rsidRPr="00AD7EBC">
              <w:rPr>
                <w:rFonts w:asciiTheme="minorHAnsi" w:hAnsiTheme="minorHAnsi"/>
                <w:iCs/>
                <w:sz w:val="20"/>
                <w:szCs w:val="20"/>
                <w:lang w:val="en-GB"/>
              </w:rPr>
              <w:t>SeGMA</w:t>
            </w:r>
            <w:proofErr w:type="spellEnd"/>
            <w:r w:rsidRPr="00AD7EBC">
              <w:rPr>
                <w:rFonts w:asciiTheme="minorHAnsi" w:hAnsiTheme="minorHAnsi"/>
                <w:iCs/>
                <w:sz w:val="20"/>
                <w:szCs w:val="20"/>
                <w:lang w:val="en-GB"/>
              </w:rPr>
              <w:t xml:space="preserve"> 1,2</w:t>
            </w:r>
          </w:p>
        </w:tc>
      </w:tr>
      <w:tr w:rsidR="003D688A" w:rsidRPr="00AD7EBC" w14:paraId="78D340E7" w14:textId="77777777" w:rsidTr="00AB15C1">
        <w:trPr>
          <w:trHeight w:val="542"/>
        </w:trPr>
        <w:tc>
          <w:tcPr>
            <w:tcW w:w="957" w:type="dxa"/>
            <w:vMerge/>
            <w:tcBorders>
              <w:left w:val="single" w:sz="6" w:space="0" w:color="000000"/>
              <w:right w:val="single" w:sz="6" w:space="0" w:color="000000"/>
            </w:tcBorders>
            <w:vAlign w:val="center"/>
          </w:tcPr>
          <w:p w14:paraId="291268D3" w14:textId="77777777" w:rsidR="003D688A" w:rsidRPr="00AD7EBC" w:rsidRDefault="003D688A" w:rsidP="00262E48">
            <w:pPr>
              <w:rPr>
                <w:rFonts w:asciiTheme="minorHAnsi" w:hAnsiTheme="minorHAnsi" w:cs="Times New Roman"/>
                <w:sz w:val="24"/>
                <w:szCs w:val="24"/>
                <w:lang w:val="en-GB"/>
              </w:rPr>
            </w:pPr>
          </w:p>
        </w:tc>
        <w:tc>
          <w:tcPr>
            <w:tcW w:w="13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C24C5" w14:textId="7FF57F3C" w:rsidR="003D688A" w:rsidRPr="00AD7EBC" w:rsidRDefault="003D688A" w:rsidP="00262E48">
            <w:pPr>
              <w:rPr>
                <w:rFonts w:asciiTheme="minorHAnsi" w:hAnsiTheme="minorHAnsi"/>
                <w:sz w:val="20"/>
                <w:szCs w:val="20"/>
                <w:lang w:val="en-GB"/>
              </w:rPr>
            </w:pPr>
            <w:r w:rsidRPr="00AD7EBC">
              <w:rPr>
                <w:rFonts w:asciiTheme="minorHAnsi" w:hAnsiTheme="minorHAnsi"/>
                <w:sz w:val="20"/>
                <w:szCs w:val="20"/>
                <w:lang w:val="en-GB"/>
              </w:rPr>
              <w:t>AEP level 1</w:t>
            </w:r>
          </w:p>
        </w:tc>
        <w:tc>
          <w:tcPr>
            <w:tcW w:w="23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BBFE1" w14:textId="77777777" w:rsidR="0024611D" w:rsidRPr="00AD7EBC" w:rsidRDefault="0024611D" w:rsidP="0024611D">
            <w:pPr>
              <w:rPr>
                <w:rFonts w:asciiTheme="minorHAnsi" w:hAnsiTheme="minorHAnsi"/>
                <w:iCs/>
                <w:sz w:val="20"/>
                <w:szCs w:val="20"/>
                <w:lang w:val="en-GB"/>
              </w:rPr>
            </w:pPr>
            <w:r w:rsidRPr="00AD7EBC">
              <w:rPr>
                <w:rFonts w:asciiTheme="minorHAnsi" w:hAnsiTheme="minorHAnsi"/>
                <w:iCs/>
                <w:sz w:val="20"/>
                <w:szCs w:val="20"/>
                <w:lang w:val="en-GB"/>
              </w:rPr>
              <w:t>All EGRA+EGMA subtasks</w:t>
            </w:r>
          </w:p>
          <w:p w14:paraId="7E2B634B" w14:textId="77777777" w:rsidR="003D688A" w:rsidRPr="00AD7EBC" w:rsidRDefault="003D688A" w:rsidP="00262E48">
            <w:pPr>
              <w:rPr>
                <w:rFonts w:asciiTheme="minorHAnsi" w:hAnsiTheme="minorHAnsi"/>
                <w:iCs/>
                <w:sz w:val="20"/>
                <w:szCs w:val="20"/>
                <w:lang w:val="en-GB"/>
              </w:rPr>
            </w:pPr>
          </w:p>
        </w:tc>
        <w:tc>
          <w:tcPr>
            <w:tcW w:w="21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26606" w14:textId="77777777" w:rsidR="0024611D" w:rsidRPr="00AD7EBC" w:rsidRDefault="0024611D" w:rsidP="0024611D">
            <w:pPr>
              <w:rPr>
                <w:rFonts w:asciiTheme="minorHAnsi" w:hAnsiTheme="minorHAnsi"/>
                <w:iCs/>
                <w:sz w:val="20"/>
                <w:szCs w:val="20"/>
                <w:lang w:val="en-GB"/>
              </w:rPr>
            </w:pPr>
            <w:r w:rsidRPr="00AD7EBC">
              <w:rPr>
                <w:rFonts w:asciiTheme="minorHAnsi" w:hAnsiTheme="minorHAnsi"/>
                <w:iCs/>
                <w:sz w:val="20"/>
                <w:szCs w:val="20"/>
                <w:lang w:val="en-GB"/>
              </w:rPr>
              <w:t>All EGRA+EGMA subtasks</w:t>
            </w:r>
          </w:p>
          <w:p w14:paraId="618D2A42" w14:textId="0340B05A" w:rsidR="003D688A" w:rsidRPr="00AD7EBC" w:rsidRDefault="0024611D" w:rsidP="0024611D">
            <w:pPr>
              <w:rPr>
                <w:rFonts w:asciiTheme="minorHAnsi" w:hAnsiTheme="minorHAnsi"/>
                <w:iCs/>
                <w:sz w:val="20"/>
                <w:szCs w:val="20"/>
                <w:lang w:val="en-GB"/>
              </w:rPr>
            </w:pPr>
            <w:r w:rsidRPr="00AD7EBC">
              <w:rPr>
                <w:rFonts w:asciiTheme="minorHAnsi" w:hAnsiTheme="minorHAnsi"/>
                <w:iCs/>
                <w:sz w:val="20"/>
                <w:szCs w:val="20"/>
                <w:lang w:val="en-GB"/>
              </w:rPr>
              <w:t xml:space="preserve">+ </w:t>
            </w:r>
            <w:proofErr w:type="spellStart"/>
            <w:r w:rsidRPr="00AD7EBC">
              <w:rPr>
                <w:rFonts w:asciiTheme="minorHAnsi" w:hAnsiTheme="minorHAnsi"/>
                <w:iCs/>
                <w:sz w:val="20"/>
                <w:szCs w:val="20"/>
                <w:lang w:val="en-GB"/>
              </w:rPr>
              <w:t>SeGRA</w:t>
            </w:r>
            <w:proofErr w:type="spellEnd"/>
            <w:r w:rsidRPr="00AD7EBC">
              <w:rPr>
                <w:rFonts w:asciiTheme="minorHAnsi" w:hAnsiTheme="minorHAnsi"/>
                <w:iCs/>
                <w:sz w:val="20"/>
                <w:szCs w:val="20"/>
                <w:lang w:val="en-GB"/>
              </w:rPr>
              <w:t xml:space="preserve"> 1 + </w:t>
            </w:r>
            <w:proofErr w:type="spellStart"/>
            <w:r w:rsidRPr="00AD7EBC">
              <w:rPr>
                <w:rFonts w:asciiTheme="minorHAnsi" w:hAnsiTheme="minorHAnsi"/>
                <w:iCs/>
                <w:sz w:val="20"/>
                <w:szCs w:val="20"/>
                <w:lang w:val="en-GB"/>
              </w:rPr>
              <w:t>SeGMA</w:t>
            </w:r>
            <w:proofErr w:type="spellEnd"/>
            <w:r w:rsidRPr="00AD7EBC">
              <w:rPr>
                <w:rFonts w:asciiTheme="minorHAnsi" w:hAnsiTheme="minorHAnsi"/>
                <w:iCs/>
                <w:sz w:val="20"/>
                <w:szCs w:val="20"/>
                <w:lang w:val="en-GB"/>
              </w:rPr>
              <w:t xml:space="preserve"> 1</w:t>
            </w:r>
            <w:r w:rsidRPr="00AD7EBC">
              <w:rPr>
                <w:rFonts w:asciiTheme="minorHAnsi" w:hAnsiTheme="minorHAnsi"/>
                <w:lang w:val="en-GB"/>
              </w:rPr>
              <w:t xml:space="preserve"> </w:t>
            </w:r>
            <w:r w:rsidRPr="00AD7EBC">
              <w:rPr>
                <w:rFonts w:asciiTheme="minorHAnsi" w:hAnsiTheme="minorHAnsi"/>
                <w:iCs/>
                <w:sz w:val="20"/>
                <w:szCs w:val="20"/>
                <w:lang w:val="en-GB"/>
              </w:rPr>
              <w:t xml:space="preserve"> </w:t>
            </w:r>
          </w:p>
        </w:tc>
        <w:tc>
          <w:tcPr>
            <w:tcW w:w="21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B031C" w14:textId="13CDA8BC" w:rsidR="003D688A" w:rsidRPr="00AD7EBC" w:rsidRDefault="0024611D" w:rsidP="00262E48">
            <w:pPr>
              <w:rPr>
                <w:rFonts w:asciiTheme="minorHAnsi" w:hAnsiTheme="minorHAnsi"/>
                <w:iCs/>
                <w:sz w:val="20"/>
                <w:szCs w:val="20"/>
                <w:lang w:val="en-GB"/>
              </w:rPr>
            </w:pPr>
            <w:proofErr w:type="spellStart"/>
            <w:r w:rsidRPr="00AD7EBC">
              <w:rPr>
                <w:rFonts w:asciiTheme="minorHAnsi" w:hAnsiTheme="minorHAnsi"/>
                <w:iCs/>
                <w:sz w:val="20"/>
                <w:szCs w:val="20"/>
                <w:lang w:val="en-GB"/>
              </w:rPr>
              <w:t>SeGRA</w:t>
            </w:r>
            <w:proofErr w:type="spellEnd"/>
            <w:r w:rsidRPr="00AD7EBC">
              <w:rPr>
                <w:rFonts w:asciiTheme="minorHAnsi" w:hAnsiTheme="minorHAnsi"/>
                <w:iCs/>
                <w:sz w:val="20"/>
                <w:szCs w:val="20"/>
                <w:lang w:val="en-GB"/>
              </w:rPr>
              <w:t xml:space="preserve"> 1</w:t>
            </w:r>
            <w:r w:rsidR="00A77260" w:rsidRPr="00AD7EBC">
              <w:rPr>
                <w:rFonts w:asciiTheme="minorHAnsi" w:hAnsiTheme="minorHAnsi"/>
                <w:iCs/>
                <w:sz w:val="20"/>
                <w:szCs w:val="20"/>
                <w:lang w:val="en-GB"/>
              </w:rPr>
              <w:t>,2</w:t>
            </w:r>
            <w:r w:rsidRPr="00AD7EBC">
              <w:rPr>
                <w:rFonts w:asciiTheme="minorHAnsi" w:hAnsiTheme="minorHAnsi"/>
                <w:iCs/>
                <w:sz w:val="20"/>
                <w:szCs w:val="20"/>
                <w:lang w:val="en-GB"/>
              </w:rPr>
              <w:t xml:space="preserve"> + </w:t>
            </w:r>
            <w:proofErr w:type="spellStart"/>
            <w:r w:rsidRPr="00AD7EBC">
              <w:rPr>
                <w:rFonts w:asciiTheme="minorHAnsi" w:hAnsiTheme="minorHAnsi"/>
                <w:iCs/>
                <w:sz w:val="20"/>
                <w:szCs w:val="20"/>
                <w:lang w:val="en-GB"/>
              </w:rPr>
              <w:t>SeGMA</w:t>
            </w:r>
            <w:proofErr w:type="spellEnd"/>
            <w:r w:rsidRPr="00AD7EBC">
              <w:rPr>
                <w:rFonts w:asciiTheme="minorHAnsi" w:hAnsiTheme="minorHAnsi"/>
                <w:iCs/>
                <w:sz w:val="20"/>
                <w:szCs w:val="20"/>
                <w:lang w:val="en-GB"/>
              </w:rPr>
              <w:t xml:space="preserve"> 1</w:t>
            </w:r>
            <w:r w:rsidR="00A77260" w:rsidRPr="00AD7EBC">
              <w:rPr>
                <w:rFonts w:asciiTheme="minorHAnsi" w:hAnsiTheme="minorHAnsi"/>
                <w:iCs/>
                <w:sz w:val="20"/>
                <w:szCs w:val="20"/>
                <w:lang w:val="en-GB"/>
              </w:rPr>
              <w:t>,2</w:t>
            </w:r>
            <w:r w:rsidRPr="00AD7EBC">
              <w:rPr>
                <w:rFonts w:asciiTheme="minorHAnsi" w:hAnsiTheme="minorHAnsi"/>
                <w:lang w:val="en-GB"/>
              </w:rPr>
              <w:t xml:space="preserve"> </w:t>
            </w:r>
            <w:r w:rsidRPr="00AD7EBC">
              <w:rPr>
                <w:rFonts w:asciiTheme="minorHAnsi" w:hAnsiTheme="minorHAnsi"/>
                <w:iCs/>
                <w:sz w:val="20"/>
                <w:szCs w:val="20"/>
                <w:lang w:val="en-GB"/>
              </w:rPr>
              <w:t xml:space="preserve"> </w:t>
            </w:r>
          </w:p>
        </w:tc>
      </w:tr>
      <w:tr w:rsidR="003D688A" w:rsidRPr="00AD7EBC" w14:paraId="2915E7DD" w14:textId="77777777" w:rsidTr="00AB15C1">
        <w:trPr>
          <w:trHeight w:val="542"/>
        </w:trPr>
        <w:tc>
          <w:tcPr>
            <w:tcW w:w="957" w:type="dxa"/>
            <w:vMerge/>
            <w:tcBorders>
              <w:left w:val="single" w:sz="6" w:space="0" w:color="000000"/>
              <w:bottom w:val="single" w:sz="6" w:space="0" w:color="000000"/>
              <w:right w:val="single" w:sz="6" w:space="0" w:color="000000"/>
            </w:tcBorders>
            <w:vAlign w:val="center"/>
          </w:tcPr>
          <w:p w14:paraId="0637BE5A" w14:textId="77777777" w:rsidR="003D688A" w:rsidRPr="00AD7EBC" w:rsidRDefault="003D688A" w:rsidP="00262E48">
            <w:pPr>
              <w:rPr>
                <w:rFonts w:asciiTheme="minorHAnsi" w:hAnsiTheme="minorHAnsi" w:cs="Times New Roman"/>
                <w:sz w:val="24"/>
                <w:szCs w:val="24"/>
                <w:lang w:val="en-GB"/>
              </w:rPr>
            </w:pPr>
          </w:p>
        </w:tc>
        <w:tc>
          <w:tcPr>
            <w:tcW w:w="13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E4130" w14:textId="5DF45D0C" w:rsidR="003D688A" w:rsidRPr="00AD7EBC" w:rsidRDefault="003D688A" w:rsidP="00262E48">
            <w:pPr>
              <w:rPr>
                <w:rFonts w:asciiTheme="minorHAnsi" w:hAnsiTheme="minorHAnsi"/>
                <w:sz w:val="20"/>
                <w:szCs w:val="20"/>
                <w:lang w:val="en-GB"/>
              </w:rPr>
            </w:pPr>
            <w:r w:rsidRPr="00AD7EBC">
              <w:rPr>
                <w:rFonts w:asciiTheme="minorHAnsi" w:hAnsiTheme="minorHAnsi"/>
                <w:sz w:val="20"/>
                <w:szCs w:val="20"/>
                <w:lang w:val="en-GB"/>
              </w:rPr>
              <w:t>AEP level 2</w:t>
            </w:r>
          </w:p>
        </w:tc>
        <w:tc>
          <w:tcPr>
            <w:tcW w:w="23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5F45B" w14:textId="78B4B765" w:rsidR="0024611D" w:rsidRPr="00AD7EBC" w:rsidRDefault="0024611D" w:rsidP="0024611D">
            <w:pPr>
              <w:rPr>
                <w:rFonts w:asciiTheme="minorHAnsi" w:hAnsiTheme="minorHAnsi"/>
                <w:iCs/>
                <w:sz w:val="20"/>
                <w:szCs w:val="20"/>
                <w:lang w:val="en-GB"/>
              </w:rPr>
            </w:pPr>
            <w:r w:rsidRPr="00AD7EBC">
              <w:rPr>
                <w:rFonts w:asciiTheme="minorHAnsi" w:hAnsiTheme="minorHAnsi"/>
                <w:iCs/>
                <w:sz w:val="20"/>
                <w:szCs w:val="20"/>
                <w:lang w:val="en-GB"/>
              </w:rPr>
              <w:t>All EGRA+EGMA subtasks</w:t>
            </w:r>
          </w:p>
          <w:p w14:paraId="236794A6" w14:textId="6C2B2790" w:rsidR="003D688A" w:rsidRPr="00AD7EBC" w:rsidRDefault="0024611D" w:rsidP="0024611D">
            <w:pPr>
              <w:rPr>
                <w:rFonts w:asciiTheme="minorHAnsi" w:hAnsiTheme="minorHAnsi"/>
                <w:iCs/>
                <w:sz w:val="20"/>
                <w:szCs w:val="20"/>
                <w:lang w:val="en-GB"/>
              </w:rPr>
            </w:pPr>
            <w:r w:rsidRPr="00AD7EBC">
              <w:rPr>
                <w:rFonts w:asciiTheme="minorHAnsi" w:hAnsiTheme="minorHAnsi"/>
                <w:iCs/>
                <w:sz w:val="20"/>
                <w:szCs w:val="20"/>
                <w:lang w:val="en-GB"/>
              </w:rPr>
              <w:t xml:space="preserve">+ </w:t>
            </w:r>
            <w:proofErr w:type="spellStart"/>
            <w:r w:rsidRPr="00AD7EBC">
              <w:rPr>
                <w:rFonts w:asciiTheme="minorHAnsi" w:hAnsiTheme="minorHAnsi"/>
                <w:iCs/>
                <w:sz w:val="20"/>
                <w:szCs w:val="20"/>
                <w:lang w:val="en-GB"/>
              </w:rPr>
              <w:t>SeGRA</w:t>
            </w:r>
            <w:proofErr w:type="spellEnd"/>
            <w:r w:rsidRPr="00AD7EBC">
              <w:rPr>
                <w:rFonts w:asciiTheme="minorHAnsi" w:hAnsiTheme="minorHAnsi"/>
                <w:iCs/>
                <w:sz w:val="20"/>
                <w:szCs w:val="20"/>
                <w:lang w:val="en-GB"/>
              </w:rPr>
              <w:t xml:space="preserve"> 1 + </w:t>
            </w:r>
            <w:proofErr w:type="spellStart"/>
            <w:r w:rsidRPr="00AD7EBC">
              <w:rPr>
                <w:rFonts w:asciiTheme="minorHAnsi" w:hAnsiTheme="minorHAnsi"/>
                <w:iCs/>
                <w:sz w:val="20"/>
                <w:szCs w:val="20"/>
                <w:lang w:val="en-GB"/>
              </w:rPr>
              <w:t>SeGMA</w:t>
            </w:r>
            <w:proofErr w:type="spellEnd"/>
            <w:r w:rsidRPr="00AD7EBC">
              <w:rPr>
                <w:rFonts w:asciiTheme="minorHAnsi" w:hAnsiTheme="minorHAnsi"/>
                <w:iCs/>
                <w:sz w:val="20"/>
                <w:szCs w:val="20"/>
                <w:lang w:val="en-GB"/>
              </w:rPr>
              <w:t xml:space="preserve"> 1</w:t>
            </w:r>
            <w:r w:rsidRPr="00AD7EBC">
              <w:rPr>
                <w:rFonts w:asciiTheme="minorHAnsi" w:hAnsiTheme="minorHAnsi"/>
                <w:lang w:val="en-GB"/>
              </w:rPr>
              <w:t xml:space="preserve"> </w:t>
            </w:r>
            <w:r w:rsidRPr="00AD7EBC">
              <w:rPr>
                <w:rFonts w:asciiTheme="minorHAnsi" w:hAnsiTheme="minorHAnsi"/>
                <w:iCs/>
                <w:sz w:val="20"/>
                <w:szCs w:val="20"/>
                <w:lang w:val="en-GB"/>
              </w:rPr>
              <w:t xml:space="preserve"> </w:t>
            </w:r>
          </w:p>
        </w:tc>
        <w:tc>
          <w:tcPr>
            <w:tcW w:w="21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E5F59" w14:textId="7241470A" w:rsidR="003D688A" w:rsidRPr="00AD7EBC" w:rsidRDefault="0024611D" w:rsidP="0024611D">
            <w:pPr>
              <w:rPr>
                <w:rFonts w:asciiTheme="minorHAnsi" w:hAnsiTheme="minorHAnsi"/>
                <w:iCs/>
                <w:sz w:val="20"/>
                <w:szCs w:val="20"/>
                <w:lang w:val="en-GB"/>
              </w:rPr>
            </w:pPr>
            <w:proofErr w:type="spellStart"/>
            <w:r w:rsidRPr="00AD7EBC">
              <w:rPr>
                <w:rFonts w:asciiTheme="minorHAnsi" w:hAnsiTheme="minorHAnsi"/>
                <w:iCs/>
                <w:sz w:val="20"/>
                <w:szCs w:val="20"/>
                <w:lang w:val="en-GB"/>
              </w:rPr>
              <w:t>SeGRA</w:t>
            </w:r>
            <w:proofErr w:type="spellEnd"/>
            <w:r w:rsidRPr="00AD7EBC">
              <w:rPr>
                <w:rFonts w:asciiTheme="minorHAnsi" w:hAnsiTheme="minorHAnsi"/>
                <w:iCs/>
                <w:sz w:val="20"/>
                <w:szCs w:val="20"/>
                <w:lang w:val="en-GB"/>
              </w:rPr>
              <w:t xml:space="preserve"> 1</w:t>
            </w:r>
            <w:r w:rsidR="00A77260" w:rsidRPr="00AD7EBC">
              <w:rPr>
                <w:rFonts w:asciiTheme="minorHAnsi" w:hAnsiTheme="minorHAnsi"/>
                <w:iCs/>
                <w:sz w:val="20"/>
                <w:szCs w:val="20"/>
                <w:lang w:val="en-GB"/>
              </w:rPr>
              <w:t>,2</w:t>
            </w:r>
            <w:r w:rsidRPr="00AD7EBC">
              <w:rPr>
                <w:rFonts w:asciiTheme="minorHAnsi" w:hAnsiTheme="minorHAnsi"/>
                <w:iCs/>
                <w:sz w:val="20"/>
                <w:szCs w:val="20"/>
                <w:lang w:val="en-GB"/>
              </w:rPr>
              <w:t xml:space="preserve"> + </w:t>
            </w:r>
            <w:proofErr w:type="spellStart"/>
            <w:r w:rsidRPr="00AD7EBC">
              <w:rPr>
                <w:rFonts w:asciiTheme="minorHAnsi" w:hAnsiTheme="minorHAnsi"/>
                <w:iCs/>
                <w:sz w:val="20"/>
                <w:szCs w:val="20"/>
                <w:lang w:val="en-GB"/>
              </w:rPr>
              <w:t>SeGMA</w:t>
            </w:r>
            <w:proofErr w:type="spellEnd"/>
            <w:r w:rsidRPr="00AD7EBC">
              <w:rPr>
                <w:rFonts w:asciiTheme="minorHAnsi" w:hAnsiTheme="minorHAnsi"/>
                <w:iCs/>
                <w:sz w:val="20"/>
                <w:szCs w:val="20"/>
                <w:lang w:val="en-GB"/>
              </w:rPr>
              <w:t xml:space="preserve"> 1</w:t>
            </w:r>
            <w:r w:rsidR="00A77260" w:rsidRPr="00AD7EBC">
              <w:rPr>
                <w:rFonts w:asciiTheme="minorHAnsi" w:hAnsiTheme="minorHAnsi"/>
                <w:iCs/>
                <w:sz w:val="20"/>
                <w:szCs w:val="20"/>
                <w:lang w:val="en-GB"/>
              </w:rPr>
              <w:t>,2</w:t>
            </w:r>
            <w:r w:rsidRPr="00AD7EBC">
              <w:rPr>
                <w:rFonts w:asciiTheme="minorHAnsi" w:hAnsiTheme="minorHAnsi"/>
                <w:lang w:val="en-GB"/>
              </w:rPr>
              <w:t xml:space="preserve"> </w:t>
            </w:r>
            <w:r w:rsidRPr="00AD7EBC">
              <w:rPr>
                <w:rFonts w:asciiTheme="minorHAnsi" w:hAnsiTheme="minorHAnsi"/>
                <w:iCs/>
                <w:sz w:val="20"/>
                <w:szCs w:val="20"/>
                <w:lang w:val="en-GB"/>
              </w:rPr>
              <w:t xml:space="preserve"> </w:t>
            </w:r>
          </w:p>
        </w:tc>
        <w:tc>
          <w:tcPr>
            <w:tcW w:w="21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CB844" w14:textId="6EC414AA" w:rsidR="003D688A" w:rsidRPr="00AD7EBC" w:rsidRDefault="0024611D" w:rsidP="00262E48">
            <w:pPr>
              <w:rPr>
                <w:rFonts w:asciiTheme="minorHAnsi" w:hAnsiTheme="minorHAnsi"/>
                <w:iCs/>
                <w:sz w:val="20"/>
                <w:szCs w:val="20"/>
                <w:lang w:val="en-GB"/>
              </w:rPr>
            </w:pPr>
            <w:proofErr w:type="spellStart"/>
            <w:r w:rsidRPr="00AD7EBC">
              <w:rPr>
                <w:rFonts w:asciiTheme="minorHAnsi" w:hAnsiTheme="minorHAnsi"/>
                <w:iCs/>
                <w:sz w:val="20"/>
                <w:szCs w:val="20"/>
                <w:lang w:val="en-GB"/>
              </w:rPr>
              <w:t>SeGRA</w:t>
            </w:r>
            <w:proofErr w:type="spellEnd"/>
            <w:r w:rsidRPr="00AD7EBC">
              <w:rPr>
                <w:rFonts w:asciiTheme="minorHAnsi" w:hAnsiTheme="minorHAnsi"/>
                <w:iCs/>
                <w:sz w:val="20"/>
                <w:szCs w:val="20"/>
                <w:lang w:val="en-GB"/>
              </w:rPr>
              <w:t xml:space="preserve"> 1</w:t>
            </w:r>
            <w:r w:rsidR="00A77260" w:rsidRPr="00AD7EBC">
              <w:rPr>
                <w:rFonts w:asciiTheme="minorHAnsi" w:hAnsiTheme="minorHAnsi"/>
                <w:iCs/>
                <w:sz w:val="20"/>
                <w:szCs w:val="20"/>
                <w:lang w:val="en-GB"/>
              </w:rPr>
              <w:t>,2</w:t>
            </w:r>
            <w:r w:rsidRPr="00AD7EBC">
              <w:rPr>
                <w:rFonts w:asciiTheme="minorHAnsi" w:hAnsiTheme="minorHAnsi"/>
                <w:iCs/>
                <w:sz w:val="20"/>
                <w:szCs w:val="20"/>
                <w:lang w:val="en-GB"/>
              </w:rPr>
              <w:t xml:space="preserve"> + </w:t>
            </w:r>
            <w:proofErr w:type="spellStart"/>
            <w:r w:rsidRPr="00AD7EBC">
              <w:rPr>
                <w:rFonts w:asciiTheme="minorHAnsi" w:hAnsiTheme="minorHAnsi"/>
                <w:iCs/>
                <w:sz w:val="20"/>
                <w:szCs w:val="20"/>
                <w:lang w:val="en-GB"/>
              </w:rPr>
              <w:t>SeGMA</w:t>
            </w:r>
            <w:proofErr w:type="spellEnd"/>
            <w:r w:rsidRPr="00AD7EBC">
              <w:rPr>
                <w:rFonts w:asciiTheme="minorHAnsi" w:hAnsiTheme="minorHAnsi"/>
                <w:iCs/>
                <w:sz w:val="20"/>
                <w:szCs w:val="20"/>
                <w:lang w:val="en-GB"/>
              </w:rPr>
              <w:t xml:space="preserve"> 1</w:t>
            </w:r>
            <w:r w:rsidR="00A77260" w:rsidRPr="00AD7EBC">
              <w:rPr>
                <w:rFonts w:asciiTheme="minorHAnsi" w:hAnsiTheme="minorHAnsi"/>
                <w:iCs/>
                <w:sz w:val="20"/>
                <w:szCs w:val="20"/>
                <w:lang w:val="en-GB"/>
              </w:rPr>
              <w:t>,2</w:t>
            </w:r>
            <w:r w:rsidRPr="00AD7EBC">
              <w:rPr>
                <w:rFonts w:asciiTheme="minorHAnsi" w:hAnsiTheme="minorHAnsi"/>
                <w:lang w:val="en-GB"/>
              </w:rPr>
              <w:t xml:space="preserve"> </w:t>
            </w:r>
            <w:r w:rsidRPr="00AD7EBC">
              <w:rPr>
                <w:rFonts w:asciiTheme="minorHAnsi" w:hAnsiTheme="minorHAnsi"/>
                <w:iCs/>
                <w:sz w:val="20"/>
                <w:szCs w:val="20"/>
                <w:lang w:val="en-GB"/>
              </w:rPr>
              <w:t xml:space="preserve"> </w:t>
            </w:r>
          </w:p>
        </w:tc>
      </w:tr>
    </w:tbl>
    <w:p w14:paraId="7B659623" w14:textId="44FA46B7" w:rsidR="007C7D0F" w:rsidRPr="00AD7EBC" w:rsidRDefault="007C7D0F" w:rsidP="007C7D0F">
      <w:pPr>
        <w:pStyle w:val="BodyText"/>
        <w:spacing w:before="9"/>
        <w:rPr>
          <w:sz w:val="20"/>
          <w:lang w:val="en-GB"/>
        </w:rPr>
      </w:pPr>
    </w:p>
    <w:p w14:paraId="5077AEED" w14:textId="1A7E88C6" w:rsidR="003D688A" w:rsidRPr="00AD7EBC" w:rsidRDefault="003D688A" w:rsidP="007C7D0F">
      <w:pPr>
        <w:pStyle w:val="BodyText"/>
        <w:spacing w:before="9"/>
        <w:rPr>
          <w:sz w:val="20"/>
          <w:lang w:val="en-GB"/>
        </w:rPr>
      </w:pPr>
    </w:p>
    <w:p w14:paraId="033DAC36" w14:textId="2193D243" w:rsidR="007C7D0F" w:rsidRPr="00AD7EBC" w:rsidRDefault="007C7D0F" w:rsidP="00C21EEA">
      <w:pPr>
        <w:pStyle w:val="ListParagraph"/>
        <w:numPr>
          <w:ilvl w:val="0"/>
          <w:numId w:val="23"/>
        </w:numPr>
        <w:tabs>
          <w:tab w:val="left" w:pos="653"/>
        </w:tabs>
        <w:ind w:left="460"/>
        <w:jc w:val="both"/>
        <w:rPr>
          <w:lang w:val="en-GB"/>
        </w:rPr>
      </w:pPr>
      <w:r w:rsidRPr="00AD7EBC">
        <w:rPr>
          <w:color w:val="1F487C"/>
          <w:lang w:val="en-GB"/>
        </w:rPr>
        <w:t xml:space="preserve">Transition cohort </w:t>
      </w:r>
    </w:p>
    <w:p w14:paraId="1A512FC5" w14:textId="601D4927" w:rsidR="002046ED" w:rsidRPr="00AD7EBC" w:rsidRDefault="00314FAE" w:rsidP="002046ED">
      <w:pPr>
        <w:pStyle w:val="BodyText"/>
        <w:spacing w:before="157"/>
        <w:ind w:left="100" w:right="112"/>
        <w:jc w:val="both"/>
        <w:rPr>
          <w:lang w:val="en-GB"/>
        </w:rPr>
      </w:pPr>
      <w:r w:rsidRPr="00AD7EBC">
        <w:rPr>
          <w:lang w:val="en-GB"/>
        </w:rPr>
        <w:t>The project will</w:t>
      </w:r>
      <w:r w:rsidR="002046ED" w:rsidRPr="00AD7EBC">
        <w:rPr>
          <w:lang w:val="en-GB"/>
        </w:rPr>
        <w:t xml:space="preserve"> have a joint cohort, where sampled girls will be tracked and measured for both </w:t>
      </w:r>
      <w:r w:rsidRPr="00AD7EBC">
        <w:rPr>
          <w:lang w:val="en-GB"/>
        </w:rPr>
        <w:t>learning and transition outcomes</w:t>
      </w:r>
      <w:r w:rsidR="002046ED" w:rsidRPr="00AD7EBC">
        <w:rPr>
          <w:lang w:val="en-GB"/>
        </w:rPr>
        <w:t>. Based on the FM recommendation to measure the transition rate of beneficiaries at household level, the project will track the same learning cohort of girls f</w:t>
      </w:r>
      <w:r w:rsidRPr="00AD7EBC">
        <w:rPr>
          <w:lang w:val="en-GB"/>
        </w:rPr>
        <w:t>rom their school</w:t>
      </w:r>
      <w:r w:rsidR="00413E16" w:rsidRPr="00AD7EBC">
        <w:rPr>
          <w:lang w:val="en-GB"/>
        </w:rPr>
        <w:t xml:space="preserve"> / AEP </w:t>
      </w:r>
      <w:r w:rsidR="00910C5C" w:rsidRPr="00AD7EBC">
        <w:rPr>
          <w:lang w:val="en-GB"/>
        </w:rPr>
        <w:t>centre</w:t>
      </w:r>
      <w:r w:rsidRPr="00AD7EBC">
        <w:rPr>
          <w:lang w:val="en-GB"/>
        </w:rPr>
        <w:t xml:space="preserve"> to their house</w:t>
      </w:r>
      <w:r w:rsidR="002046ED" w:rsidRPr="00AD7EBC">
        <w:rPr>
          <w:lang w:val="en-GB"/>
        </w:rPr>
        <w:t xml:space="preserve"> at baseline in order to collect data about their school</w:t>
      </w:r>
      <w:r w:rsidR="00413E16" w:rsidRPr="00AD7EBC">
        <w:rPr>
          <w:lang w:val="en-GB"/>
        </w:rPr>
        <w:t xml:space="preserve"> / AEP</w:t>
      </w:r>
      <w:r w:rsidR="002046ED" w:rsidRPr="00AD7EBC">
        <w:rPr>
          <w:lang w:val="en-GB"/>
        </w:rPr>
        <w:t xml:space="preserve"> </w:t>
      </w:r>
      <w:r w:rsidR="00910C5C" w:rsidRPr="00AD7EBC">
        <w:rPr>
          <w:lang w:val="en-GB"/>
        </w:rPr>
        <w:t>enrolment</w:t>
      </w:r>
      <w:r w:rsidR="002046ED" w:rsidRPr="00AD7EBC">
        <w:rPr>
          <w:lang w:val="en-GB"/>
        </w:rPr>
        <w:t xml:space="preserve"> and attendance from one year to another. While the evaluators </w:t>
      </w:r>
      <w:r w:rsidRPr="00AD7EBC">
        <w:rPr>
          <w:lang w:val="en-GB"/>
        </w:rPr>
        <w:t xml:space="preserve">will </w:t>
      </w:r>
      <w:r w:rsidR="002046ED" w:rsidRPr="00AD7EBC">
        <w:rPr>
          <w:lang w:val="en-GB"/>
        </w:rPr>
        <w:t>administer the learning test</w:t>
      </w:r>
      <w:r w:rsidRPr="00AD7EBC">
        <w:rPr>
          <w:lang w:val="en-GB"/>
        </w:rPr>
        <w:t>s</w:t>
      </w:r>
      <w:r w:rsidR="002046ED" w:rsidRPr="00AD7EBC">
        <w:rPr>
          <w:lang w:val="en-GB"/>
        </w:rPr>
        <w:t xml:space="preserve"> to the learning cohort at school</w:t>
      </w:r>
      <w:r w:rsidR="00413E16" w:rsidRPr="00AD7EBC">
        <w:rPr>
          <w:lang w:val="en-GB"/>
        </w:rPr>
        <w:t xml:space="preserve"> and AEP </w:t>
      </w:r>
      <w:r w:rsidR="00910C5C" w:rsidRPr="00AD7EBC">
        <w:rPr>
          <w:lang w:val="en-GB"/>
        </w:rPr>
        <w:t>centre</w:t>
      </w:r>
      <w:r w:rsidR="002046ED" w:rsidRPr="00AD7EBC">
        <w:rPr>
          <w:lang w:val="en-GB"/>
        </w:rPr>
        <w:t>, they will gather enough information about where their families live in the community in order to plan a visit to administer the household survey</w:t>
      </w:r>
      <w:r w:rsidRPr="00AD7EBC">
        <w:rPr>
          <w:lang w:val="en-GB"/>
        </w:rPr>
        <w:t xml:space="preserve"> as well</w:t>
      </w:r>
      <w:r w:rsidR="002046ED" w:rsidRPr="00AD7EBC">
        <w:rPr>
          <w:lang w:val="en-GB"/>
        </w:rPr>
        <w:t xml:space="preserve">. </w:t>
      </w:r>
    </w:p>
    <w:p w14:paraId="37A25842" w14:textId="4485F521" w:rsidR="002046ED" w:rsidRPr="00AD7EBC" w:rsidRDefault="002046ED" w:rsidP="002046ED">
      <w:pPr>
        <w:pStyle w:val="BodyText"/>
        <w:spacing w:before="157"/>
        <w:ind w:left="100" w:right="112"/>
        <w:jc w:val="both"/>
        <w:rPr>
          <w:lang w:val="en-GB"/>
        </w:rPr>
      </w:pPr>
      <w:r w:rsidRPr="00AD7EBC">
        <w:rPr>
          <w:lang w:val="en-GB"/>
        </w:rPr>
        <w:t>Similar to the girls’ unique ID number, the household will be assigned a unique ID number, which will enable for an easier link and tracking between the girl and her family in the community. The main risk and challenge with this approach is a poor methodology used to create the unique ID number for the girl and for the household, or a lack of organization in doing so, which could lead to the impossibility of trackin</w:t>
      </w:r>
      <w:r w:rsidR="00910C5C">
        <w:rPr>
          <w:lang w:val="en-GB"/>
        </w:rPr>
        <w:t>g back the girls after baseline</w:t>
      </w:r>
      <w:r w:rsidRPr="00AD7EBC">
        <w:rPr>
          <w:lang w:val="en-GB"/>
        </w:rPr>
        <w:t xml:space="preserve"> and lose the cohort to a certain extent. To ensure the tracking and unique ID number assignment can </w:t>
      </w:r>
      <w:r w:rsidRPr="00AD7EBC">
        <w:rPr>
          <w:lang w:val="en-GB"/>
        </w:rPr>
        <w:lastRenderedPageBreak/>
        <w:t>be done successfully, the evaluators will need to submit the list of girls and household with their unique ID numbers to the project team, who will be responsible to quality assure the list by cross-checking and double-checking each ID number. Another risk that the project has identified is that some treatment girls could drop out of school</w:t>
      </w:r>
      <w:r w:rsidR="00413E16" w:rsidRPr="00AD7EBC">
        <w:rPr>
          <w:lang w:val="en-GB"/>
        </w:rPr>
        <w:t xml:space="preserve"> or AEP,</w:t>
      </w:r>
      <w:r w:rsidRPr="00AD7EBC">
        <w:rPr>
          <w:lang w:val="en-GB"/>
        </w:rPr>
        <w:t xml:space="preserve"> or transition to a school that is outside of the project’s intervention areas. In the first instance, if the girl remains in our intervention community, she will still benefit from the project’s activities, but at the community level, and potentially attends school</w:t>
      </w:r>
      <w:r w:rsidR="00413E16" w:rsidRPr="00AD7EBC">
        <w:rPr>
          <w:lang w:val="en-GB"/>
        </w:rPr>
        <w:t xml:space="preserve"> or AEP</w:t>
      </w:r>
      <w:r w:rsidRPr="00AD7EBC">
        <w:rPr>
          <w:lang w:val="en-GB"/>
        </w:rPr>
        <w:t xml:space="preserve"> agai</w:t>
      </w:r>
      <w:r w:rsidR="00B2404B" w:rsidRPr="00AD7EBC">
        <w:rPr>
          <w:lang w:val="en-GB"/>
        </w:rPr>
        <w:t>n as a result. If the girl does</w:t>
      </w:r>
      <w:r w:rsidRPr="00AD7EBC">
        <w:rPr>
          <w:lang w:val="en-GB"/>
        </w:rPr>
        <w:t xml:space="preserve"> change school that is outside of the project’s intervention zone, the evaluators will have to replace this beneficiary with a beneficiary displaying similar characteristics. </w:t>
      </w:r>
    </w:p>
    <w:p w14:paraId="6A209E96" w14:textId="181AF9C6" w:rsidR="002046ED" w:rsidRPr="00AD7EBC" w:rsidRDefault="00B2404B" w:rsidP="002046ED">
      <w:pPr>
        <w:pStyle w:val="BodyText"/>
        <w:spacing w:before="157"/>
        <w:ind w:left="100" w:right="112"/>
        <w:jc w:val="both"/>
        <w:rPr>
          <w:lang w:val="en-GB"/>
        </w:rPr>
      </w:pPr>
      <w:r w:rsidRPr="00AD7EBC">
        <w:rPr>
          <w:lang w:val="en-GB"/>
        </w:rPr>
        <w:t>As REALISE</w:t>
      </w:r>
      <w:r w:rsidR="002046ED" w:rsidRPr="00AD7EBC">
        <w:rPr>
          <w:lang w:val="en-GB"/>
        </w:rPr>
        <w:t xml:space="preserve"> will progressively move to focus on older studen</w:t>
      </w:r>
      <w:r w:rsidRPr="00AD7EBC">
        <w:rPr>
          <w:lang w:val="en-GB"/>
        </w:rPr>
        <w:t>ts, it is understood that risk</w:t>
      </w:r>
      <w:r w:rsidR="002046ED" w:rsidRPr="00AD7EBC">
        <w:rPr>
          <w:lang w:val="en-GB"/>
        </w:rPr>
        <w:t>s for drop-out and attrition will also get higher. This is especially true</w:t>
      </w:r>
      <w:r w:rsidRPr="00AD7EBC">
        <w:rPr>
          <w:lang w:val="en-GB"/>
        </w:rPr>
        <w:t xml:space="preserve"> for children who live in conflict-affected areas, and</w:t>
      </w:r>
      <w:r w:rsidR="002046ED" w:rsidRPr="00AD7EBC">
        <w:rPr>
          <w:lang w:val="en-GB"/>
        </w:rPr>
        <w:t xml:space="preserve"> when children move from primary schools to secondary schools</w:t>
      </w:r>
      <w:r w:rsidR="00413E16" w:rsidRPr="00AD7EBC">
        <w:rPr>
          <w:lang w:val="en-GB"/>
        </w:rPr>
        <w:t xml:space="preserve"> or when they finish AEP level 3</w:t>
      </w:r>
      <w:r w:rsidR="002046ED" w:rsidRPr="00AD7EBC">
        <w:rPr>
          <w:lang w:val="en-GB"/>
        </w:rPr>
        <w:t>, as it is unlikely that all girls from sampled primary schools</w:t>
      </w:r>
      <w:r w:rsidR="00413E16" w:rsidRPr="00AD7EBC">
        <w:rPr>
          <w:lang w:val="en-GB"/>
        </w:rPr>
        <w:t xml:space="preserve"> and AEP </w:t>
      </w:r>
      <w:r w:rsidR="00910C5C" w:rsidRPr="00AD7EBC">
        <w:rPr>
          <w:lang w:val="en-GB"/>
        </w:rPr>
        <w:t>centres</w:t>
      </w:r>
      <w:r w:rsidR="002046ED" w:rsidRPr="00AD7EBC">
        <w:rPr>
          <w:lang w:val="en-GB"/>
        </w:rPr>
        <w:t xml:space="preserve"> will </w:t>
      </w:r>
      <w:r w:rsidR="00910C5C" w:rsidRPr="00AD7EBC">
        <w:rPr>
          <w:lang w:val="en-GB"/>
        </w:rPr>
        <w:t>enrol</w:t>
      </w:r>
      <w:r w:rsidR="002046ED" w:rsidRPr="00AD7EBC">
        <w:rPr>
          <w:lang w:val="en-GB"/>
        </w:rPr>
        <w:t xml:space="preserve"> in sampled secondary schools. Therefore, the evaluators are expected to</w:t>
      </w:r>
      <w:r w:rsidRPr="00AD7EBC">
        <w:rPr>
          <w:lang w:val="en-GB"/>
        </w:rPr>
        <w:t xml:space="preserve"> consider a conservative attrition rate and</w:t>
      </w:r>
      <w:r w:rsidR="002046ED" w:rsidRPr="00AD7EBC">
        <w:rPr>
          <w:lang w:val="en-GB"/>
        </w:rPr>
        <w:t xml:space="preserve"> develop a robust replacement strategy before the research is conducted at each evaluation point to account for the potential drop in sample sizes over the life of the project and evaluations. </w:t>
      </w:r>
    </w:p>
    <w:p w14:paraId="0070CCB1" w14:textId="77777777" w:rsidR="002046ED" w:rsidRPr="00AD7EBC" w:rsidRDefault="002046ED" w:rsidP="002046ED">
      <w:pPr>
        <w:pStyle w:val="BodyText"/>
        <w:spacing w:before="157"/>
        <w:ind w:left="100" w:right="112"/>
        <w:jc w:val="both"/>
        <w:rPr>
          <w:lang w:val="en-GB"/>
        </w:rPr>
      </w:pPr>
    </w:p>
    <w:tbl>
      <w:tblPr>
        <w:tblStyle w:val="TableGrid"/>
        <w:tblW w:w="0" w:type="auto"/>
        <w:tblInd w:w="100" w:type="dxa"/>
        <w:tblLook w:val="04A0" w:firstRow="1" w:lastRow="0" w:firstColumn="1" w:lastColumn="0" w:noHBand="0" w:noVBand="1"/>
      </w:tblPr>
      <w:tblGrid>
        <w:gridCol w:w="2022"/>
        <w:gridCol w:w="2268"/>
        <w:gridCol w:w="2409"/>
        <w:gridCol w:w="2431"/>
      </w:tblGrid>
      <w:tr w:rsidR="002046ED" w:rsidRPr="00AD7EBC" w14:paraId="1FB5F1D4" w14:textId="77777777" w:rsidTr="00C21EEA">
        <w:trPr>
          <w:trHeight w:val="527"/>
        </w:trPr>
        <w:tc>
          <w:tcPr>
            <w:tcW w:w="9130" w:type="dxa"/>
            <w:gridSpan w:val="4"/>
            <w:shd w:val="clear" w:color="auto" w:fill="DEEAF6" w:themeFill="accent5" w:themeFillTint="33"/>
          </w:tcPr>
          <w:p w14:paraId="026960DF" w14:textId="14531034" w:rsidR="002046ED" w:rsidRPr="00AD7EBC" w:rsidRDefault="002046ED" w:rsidP="00B2404B">
            <w:pPr>
              <w:pStyle w:val="BodyText"/>
              <w:spacing w:before="157"/>
              <w:ind w:right="112"/>
              <w:jc w:val="center"/>
              <w:rPr>
                <w:b/>
                <w:lang w:val="en-GB"/>
              </w:rPr>
            </w:pPr>
            <w:r w:rsidRPr="00AD7EBC">
              <w:rPr>
                <w:b/>
                <w:lang w:val="en-GB"/>
              </w:rPr>
              <w:t xml:space="preserve">Expected </w:t>
            </w:r>
            <w:r w:rsidR="00A02C6A" w:rsidRPr="00AD7EBC">
              <w:rPr>
                <w:b/>
                <w:lang w:val="en-GB"/>
              </w:rPr>
              <w:t xml:space="preserve">transition </w:t>
            </w:r>
            <w:r w:rsidRPr="00AD7EBC">
              <w:rPr>
                <w:b/>
                <w:lang w:val="en-GB"/>
              </w:rPr>
              <w:t>progress of each cohort through the years of the project</w:t>
            </w:r>
          </w:p>
        </w:tc>
      </w:tr>
      <w:tr w:rsidR="002046ED" w:rsidRPr="00AD7EBC" w14:paraId="4F1D246E" w14:textId="77777777" w:rsidTr="007D42B2">
        <w:trPr>
          <w:trHeight w:val="549"/>
        </w:trPr>
        <w:tc>
          <w:tcPr>
            <w:tcW w:w="2022" w:type="dxa"/>
          </w:tcPr>
          <w:p w14:paraId="220B1470" w14:textId="77777777" w:rsidR="002046ED" w:rsidRPr="00AD7EBC" w:rsidRDefault="002046ED" w:rsidP="00A02C6A">
            <w:pPr>
              <w:pStyle w:val="BodyText"/>
              <w:spacing w:before="157"/>
              <w:ind w:right="112"/>
              <w:jc w:val="center"/>
              <w:rPr>
                <w:b/>
                <w:lang w:val="en-GB"/>
              </w:rPr>
            </w:pPr>
            <w:r w:rsidRPr="00AD7EBC">
              <w:rPr>
                <w:b/>
                <w:lang w:val="en-GB"/>
              </w:rPr>
              <w:t>2017 – 2018</w:t>
            </w:r>
          </w:p>
        </w:tc>
        <w:tc>
          <w:tcPr>
            <w:tcW w:w="2268" w:type="dxa"/>
          </w:tcPr>
          <w:p w14:paraId="1E1BE3A5" w14:textId="77777777" w:rsidR="002046ED" w:rsidRPr="00AD7EBC" w:rsidRDefault="002046ED" w:rsidP="00A02C6A">
            <w:pPr>
              <w:pStyle w:val="BodyText"/>
              <w:spacing w:before="157"/>
              <w:ind w:right="112"/>
              <w:jc w:val="center"/>
              <w:rPr>
                <w:b/>
                <w:lang w:val="en-GB"/>
              </w:rPr>
            </w:pPr>
            <w:r w:rsidRPr="00AD7EBC">
              <w:rPr>
                <w:b/>
                <w:lang w:val="en-GB"/>
              </w:rPr>
              <w:t>2018 – 2019</w:t>
            </w:r>
          </w:p>
        </w:tc>
        <w:tc>
          <w:tcPr>
            <w:tcW w:w="2409" w:type="dxa"/>
          </w:tcPr>
          <w:p w14:paraId="2EF8EFB2" w14:textId="77777777" w:rsidR="002046ED" w:rsidRPr="00AD7EBC" w:rsidRDefault="002046ED" w:rsidP="00A02C6A">
            <w:pPr>
              <w:pStyle w:val="BodyText"/>
              <w:spacing w:before="157"/>
              <w:ind w:right="112"/>
              <w:jc w:val="center"/>
              <w:rPr>
                <w:b/>
                <w:lang w:val="en-GB"/>
              </w:rPr>
            </w:pPr>
            <w:r w:rsidRPr="00AD7EBC">
              <w:rPr>
                <w:b/>
                <w:lang w:val="en-GB"/>
              </w:rPr>
              <w:t>2019 – 2020</w:t>
            </w:r>
          </w:p>
        </w:tc>
        <w:tc>
          <w:tcPr>
            <w:tcW w:w="2431" w:type="dxa"/>
          </w:tcPr>
          <w:p w14:paraId="1F104B15" w14:textId="77777777" w:rsidR="002046ED" w:rsidRPr="00AD7EBC" w:rsidRDefault="002046ED" w:rsidP="00A02C6A">
            <w:pPr>
              <w:pStyle w:val="BodyText"/>
              <w:spacing w:before="157"/>
              <w:ind w:right="112"/>
              <w:jc w:val="center"/>
              <w:rPr>
                <w:b/>
                <w:lang w:val="en-GB"/>
              </w:rPr>
            </w:pPr>
            <w:r w:rsidRPr="00AD7EBC">
              <w:rPr>
                <w:b/>
                <w:lang w:val="en-GB"/>
              </w:rPr>
              <w:t>2020 - 2021</w:t>
            </w:r>
          </w:p>
        </w:tc>
      </w:tr>
      <w:tr w:rsidR="002046ED" w:rsidRPr="00AD7EBC" w14:paraId="7DB54035" w14:textId="77777777" w:rsidTr="007D42B2">
        <w:trPr>
          <w:trHeight w:val="613"/>
        </w:trPr>
        <w:tc>
          <w:tcPr>
            <w:tcW w:w="2022" w:type="dxa"/>
          </w:tcPr>
          <w:p w14:paraId="2C0B7035" w14:textId="77777777" w:rsidR="002046ED" w:rsidRPr="00AD7EBC" w:rsidRDefault="002046ED" w:rsidP="00262E48">
            <w:pPr>
              <w:pStyle w:val="BodyText"/>
              <w:spacing w:before="157"/>
              <w:ind w:right="112"/>
              <w:rPr>
                <w:sz w:val="20"/>
                <w:lang w:val="en-GB"/>
              </w:rPr>
            </w:pPr>
            <w:r w:rsidRPr="00AD7EBC">
              <w:rPr>
                <w:sz w:val="20"/>
                <w:lang w:val="en-GB"/>
              </w:rPr>
              <w:t>Grade 4 (primary)</w:t>
            </w:r>
          </w:p>
        </w:tc>
        <w:tc>
          <w:tcPr>
            <w:tcW w:w="2268" w:type="dxa"/>
          </w:tcPr>
          <w:p w14:paraId="4DDC7420" w14:textId="77777777" w:rsidR="002046ED" w:rsidRPr="00AD7EBC" w:rsidRDefault="002046ED" w:rsidP="00262E48">
            <w:pPr>
              <w:pStyle w:val="BodyText"/>
              <w:spacing w:before="157"/>
              <w:ind w:right="112"/>
              <w:rPr>
                <w:sz w:val="20"/>
                <w:lang w:val="en-GB"/>
              </w:rPr>
            </w:pPr>
            <w:r w:rsidRPr="00AD7EBC">
              <w:rPr>
                <w:sz w:val="20"/>
                <w:lang w:val="en-GB"/>
              </w:rPr>
              <w:t>Grade 5 (primary)</w:t>
            </w:r>
          </w:p>
        </w:tc>
        <w:tc>
          <w:tcPr>
            <w:tcW w:w="2409" w:type="dxa"/>
          </w:tcPr>
          <w:p w14:paraId="1D5FC56C" w14:textId="77777777" w:rsidR="002046ED" w:rsidRPr="00AD7EBC" w:rsidRDefault="002046ED" w:rsidP="00262E48">
            <w:pPr>
              <w:pStyle w:val="BodyText"/>
              <w:spacing w:before="157"/>
              <w:ind w:right="112"/>
              <w:rPr>
                <w:sz w:val="20"/>
                <w:lang w:val="en-GB"/>
              </w:rPr>
            </w:pPr>
            <w:r w:rsidRPr="00AD7EBC">
              <w:rPr>
                <w:sz w:val="20"/>
                <w:lang w:val="en-GB"/>
              </w:rPr>
              <w:t>Grade 6 (primary)</w:t>
            </w:r>
          </w:p>
        </w:tc>
        <w:tc>
          <w:tcPr>
            <w:tcW w:w="2431" w:type="dxa"/>
          </w:tcPr>
          <w:p w14:paraId="7E2572E2" w14:textId="0808A3D9" w:rsidR="002046ED" w:rsidRPr="00AD7EBC" w:rsidRDefault="007D42B2" w:rsidP="00262E48">
            <w:pPr>
              <w:pStyle w:val="BodyText"/>
              <w:spacing w:before="157"/>
              <w:ind w:right="112"/>
              <w:rPr>
                <w:sz w:val="20"/>
                <w:lang w:val="en-GB"/>
              </w:rPr>
            </w:pPr>
            <w:r w:rsidRPr="00AD7EBC">
              <w:rPr>
                <w:sz w:val="20"/>
                <w:lang w:val="en-GB"/>
              </w:rPr>
              <w:t>Grade 7 (secondary</w:t>
            </w:r>
            <w:r w:rsidR="002046ED" w:rsidRPr="00AD7EBC">
              <w:rPr>
                <w:sz w:val="20"/>
                <w:lang w:val="en-GB"/>
              </w:rPr>
              <w:t>)</w:t>
            </w:r>
          </w:p>
        </w:tc>
      </w:tr>
      <w:tr w:rsidR="002046ED" w:rsidRPr="00AD7EBC" w14:paraId="51161AE4" w14:textId="77777777" w:rsidTr="007D42B2">
        <w:trPr>
          <w:trHeight w:val="613"/>
        </w:trPr>
        <w:tc>
          <w:tcPr>
            <w:tcW w:w="2022" w:type="dxa"/>
          </w:tcPr>
          <w:p w14:paraId="2D6D380D" w14:textId="77777777" w:rsidR="002046ED" w:rsidRPr="00AD7EBC" w:rsidRDefault="002046ED" w:rsidP="00262E48">
            <w:pPr>
              <w:pStyle w:val="BodyText"/>
              <w:spacing w:before="157"/>
              <w:ind w:right="112"/>
              <w:rPr>
                <w:sz w:val="20"/>
                <w:lang w:val="en-GB"/>
              </w:rPr>
            </w:pPr>
            <w:r w:rsidRPr="00AD7EBC">
              <w:rPr>
                <w:sz w:val="20"/>
                <w:lang w:val="en-GB"/>
              </w:rPr>
              <w:t>Grade 5 (primary)</w:t>
            </w:r>
          </w:p>
        </w:tc>
        <w:tc>
          <w:tcPr>
            <w:tcW w:w="2268" w:type="dxa"/>
          </w:tcPr>
          <w:p w14:paraId="520C1BDF" w14:textId="77777777" w:rsidR="002046ED" w:rsidRPr="00AD7EBC" w:rsidRDefault="002046ED" w:rsidP="00262E48">
            <w:pPr>
              <w:pStyle w:val="BodyText"/>
              <w:spacing w:before="157"/>
              <w:ind w:right="112"/>
              <w:rPr>
                <w:sz w:val="20"/>
                <w:lang w:val="en-GB"/>
              </w:rPr>
            </w:pPr>
            <w:r w:rsidRPr="00AD7EBC">
              <w:rPr>
                <w:sz w:val="20"/>
                <w:lang w:val="en-GB"/>
              </w:rPr>
              <w:t>Grade 6 (primary)</w:t>
            </w:r>
          </w:p>
        </w:tc>
        <w:tc>
          <w:tcPr>
            <w:tcW w:w="2409" w:type="dxa"/>
          </w:tcPr>
          <w:p w14:paraId="359608FD" w14:textId="359EDC21" w:rsidR="002046ED" w:rsidRPr="00AD7EBC" w:rsidRDefault="007D42B2" w:rsidP="00262E48">
            <w:pPr>
              <w:pStyle w:val="BodyText"/>
              <w:spacing w:before="157"/>
              <w:ind w:right="112"/>
              <w:rPr>
                <w:sz w:val="20"/>
                <w:lang w:val="en-GB"/>
              </w:rPr>
            </w:pPr>
            <w:r w:rsidRPr="00AD7EBC">
              <w:rPr>
                <w:sz w:val="20"/>
                <w:lang w:val="en-GB"/>
              </w:rPr>
              <w:t>Grade 7 (secondary</w:t>
            </w:r>
            <w:r w:rsidR="002046ED" w:rsidRPr="00AD7EBC">
              <w:rPr>
                <w:sz w:val="20"/>
                <w:lang w:val="en-GB"/>
              </w:rPr>
              <w:t>)</w:t>
            </w:r>
          </w:p>
        </w:tc>
        <w:tc>
          <w:tcPr>
            <w:tcW w:w="2431" w:type="dxa"/>
          </w:tcPr>
          <w:p w14:paraId="57E3969E" w14:textId="038AD19A" w:rsidR="002046ED" w:rsidRPr="00AD7EBC" w:rsidRDefault="007D42B2" w:rsidP="00262E48">
            <w:pPr>
              <w:pStyle w:val="BodyText"/>
              <w:spacing w:before="157"/>
              <w:ind w:right="112"/>
              <w:rPr>
                <w:sz w:val="20"/>
                <w:lang w:val="en-GB"/>
              </w:rPr>
            </w:pPr>
            <w:r w:rsidRPr="00AD7EBC">
              <w:rPr>
                <w:sz w:val="20"/>
                <w:lang w:val="en-GB"/>
              </w:rPr>
              <w:t>Grade 8 (s</w:t>
            </w:r>
            <w:r w:rsidR="002046ED" w:rsidRPr="00AD7EBC">
              <w:rPr>
                <w:sz w:val="20"/>
                <w:lang w:val="en-GB"/>
              </w:rPr>
              <w:t>econdary)</w:t>
            </w:r>
          </w:p>
        </w:tc>
      </w:tr>
      <w:tr w:rsidR="002046ED" w:rsidRPr="00AD7EBC" w14:paraId="627F2270" w14:textId="77777777" w:rsidTr="007D42B2">
        <w:trPr>
          <w:trHeight w:val="598"/>
        </w:trPr>
        <w:tc>
          <w:tcPr>
            <w:tcW w:w="2022" w:type="dxa"/>
          </w:tcPr>
          <w:p w14:paraId="58128175" w14:textId="77777777" w:rsidR="002046ED" w:rsidRPr="00AD7EBC" w:rsidRDefault="002046ED" w:rsidP="00262E48">
            <w:pPr>
              <w:pStyle w:val="BodyText"/>
              <w:spacing w:before="157"/>
              <w:ind w:right="112"/>
              <w:rPr>
                <w:sz w:val="20"/>
                <w:lang w:val="en-GB"/>
              </w:rPr>
            </w:pPr>
            <w:r w:rsidRPr="00AD7EBC">
              <w:rPr>
                <w:sz w:val="20"/>
                <w:lang w:val="en-GB"/>
              </w:rPr>
              <w:t xml:space="preserve">Grade 6 (primary) </w:t>
            </w:r>
          </w:p>
        </w:tc>
        <w:tc>
          <w:tcPr>
            <w:tcW w:w="2268" w:type="dxa"/>
          </w:tcPr>
          <w:p w14:paraId="58FD3D2B" w14:textId="15BFDEA6" w:rsidR="002046ED" w:rsidRPr="00AD7EBC" w:rsidRDefault="007D42B2" w:rsidP="00262E48">
            <w:pPr>
              <w:pStyle w:val="BodyText"/>
              <w:spacing w:before="157"/>
              <w:ind w:right="112"/>
              <w:rPr>
                <w:sz w:val="20"/>
                <w:lang w:val="en-GB"/>
              </w:rPr>
            </w:pPr>
            <w:r w:rsidRPr="00AD7EBC">
              <w:rPr>
                <w:sz w:val="20"/>
                <w:lang w:val="en-GB"/>
              </w:rPr>
              <w:t>Grade 7 (secondary</w:t>
            </w:r>
            <w:r w:rsidR="002046ED" w:rsidRPr="00AD7EBC">
              <w:rPr>
                <w:sz w:val="20"/>
                <w:lang w:val="en-GB"/>
              </w:rPr>
              <w:t>)</w:t>
            </w:r>
          </w:p>
        </w:tc>
        <w:tc>
          <w:tcPr>
            <w:tcW w:w="2409" w:type="dxa"/>
          </w:tcPr>
          <w:p w14:paraId="06208865" w14:textId="77777777" w:rsidR="002046ED" w:rsidRPr="00AD7EBC" w:rsidRDefault="002046ED" w:rsidP="00262E48">
            <w:pPr>
              <w:pStyle w:val="BodyText"/>
              <w:spacing w:before="157"/>
              <w:ind w:right="112"/>
              <w:rPr>
                <w:sz w:val="20"/>
                <w:lang w:val="en-GB"/>
              </w:rPr>
            </w:pPr>
            <w:r w:rsidRPr="00AD7EBC">
              <w:rPr>
                <w:sz w:val="20"/>
                <w:lang w:val="en-GB"/>
              </w:rPr>
              <w:t>Grade 8 (secondary)</w:t>
            </w:r>
          </w:p>
        </w:tc>
        <w:tc>
          <w:tcPr>
            <w:tcW w:w="2431" w:type="dxa"/>
          </w:tcPr>
          <w:p w14:paraId="291D4224" w14:textId="77777777" w:rsidR="002046ED" w:rsidRPr="00AD7EBC" w:rsidRDefault="002046ED" w:rsidP="00262E48">
            <w:pPr>
              <w:pStyle w:val="BodyText"/>
              <w:spacing w:before="157"/>
              <w:ind w:right="112"/>
              <w:rPr>
                <w:sz w:val="20"/>
                <w:lang w:val="en-GB"/>
              </w:rPr>
            </w:pPr>
            <w:r w:rsidRPr="00AD7EBC">
              <w:rPr>
                <w:sz w:val="20"/>
                <w:lang w:val="en-GB"/>
              </w:rPr>
              <w:t>Grade 9 (secondary)</w:t>
            </w:r>
          </w:p>
        </w:tc>
      </w:tr>
      <w:tr w:rsidR="00F843EB" w:rsidRPr="00AD7EBC" w14:paraId="40870482" w14:textId="77777777" w:rsidTr="007D42B2">
        <w:trPr>
          <w:trHeight w:val="598"/>
        </w:trPr>
        <w:tc>
          <w:tcPr>
            <w:tcW w:w="2022" w:type="dxa"/>
          </w:tcPr>
          <w:p w14:paraId="48D0F3ED" w14:textId="1466440B" w:rsidR="00F843EB" w:rsidRPr="00AD7EBC" w:rsidRDefault="00F843EB" w:rsidP="00262E48">
            <w:pPr>
              <w:pStyle w:val="BodyText"/>
              <w:spacing w:before="157"/>
              <w:ind w:right="112"/>
              <w:rPr>
                <w:sz w:val="20"/>
                <w:lang w:val="en-GB"/>
              </w:rPr>
            </w:pPr>
            <w:r w:rsidRPr="00AD7EBC">
              <w:rPr>
                <w:sz w:val="20"/>
                <w:lang w:val="en-GB"/>
              </w:rPr>
              <w:t>AEP level 1</w:t>
            </w:r>
          </w:p>
        </w:tc>
        <w:tc>
          <w:tcPr>
            <w:tcW w:w="2268" w:type="dxa"/>
          </w:tcPr>
          <w:p w14:paraId="132AAAEF" w14:textId="37A27637" w:rsidR="00F843EB" w:rsidRPr="00AD7EBC" w:rsidRDefault="00F843EB" w:rsidP="00262E48">
            <w:pPr>
              <w:pStyle w:val="BodyText"/>
              <w:spacing w:before="157"/>
              <w:ind w:right="112"/>
              <w:rPr>
                <w:sz w:val="20"/>
                <w:lang w:val="en-GB"/>
              </w:rPr>
            </w:pPr>
            <w:r w:rsidRPr="00AD7EBC">
              <w:rPr>
                <w:sz w:val="20"/>
                <w:lang w:val="en-GB"/>
              </w:rPr>
              <w:t>AEP level 2</w:t>
            </w:r>
          </w:p>
        </w:tc>
        <w:tc>
          <w:tcPr>
            <w:tcW w:w="2409" w:type="dxa"/>
          </w:tcPr>
          <w:p w14:paraId="66EC5283" w14:textId="2F9D00C3" w:rsidR="00F843EB" w:rsidRPr="00AD7EBC" w:rsidRDefault="00F843EB" w:rsidP="00262E48">
            <w:pPr>
              <w:pStyle w:val="BodyText"/>
              <w:spacing w:before="157"/>
              <w:ind w:right="112"/>
              <w:rPr>
                <w:sz w:val="20"/>
                <w:lang w:val="en-GB"/>
              </w:rPr>
            </w:pPr>
            <w:r w:rsidRPr="00AD7EBC">
              <w:rPr>
                <w:sz w:val="20"/>
                <w:lang w:val="en-GB"/>
              </w:rPr>
              <w:t>AEP level 3</w:t>
            </w:r>
          </w:p>
        </w:tc>
        <w:tc>
          <w:tcPr>
            <w:tcW w:w="2431" w:type="dxa"/>
          </w:tcPr>
          <w:p w14:paraId="7A4EA896" w14:textId="77777777" w:rsidR="00F843EB" w:rsidRPr="00AD7EBC" w:rsidRDefault="00F843EB" w:rsidP="00262E48">
            <w:pPr>
              <w:pStyle w:val="BodyText"/>
              <w:spacing w:before="157"/>
              <w:ind w:right="112"/>
              <w:rPr>
                <w:sz w:val="20"/>
                <w:lang w:val="en-GB"/>
              </w:rPr>
            </w:pPr>
            <w:r w:rsidRPr="00AD7EBC">
              <w:rPr>
                <w:sz w:val="20"/>
                <w:lang w:val="en-GB"/>
              </w:rPr>
              <w:t>Grade 7 (secondary)</w:t>
            </w:r>
          </w:p>
          <w:p w14:paraId="13265491" w14:textId="44B53A95" w:rsidR="00F843EB" w:rsidRPr="00AD7EBC" w:rsidRDefault="00F843EB" w:rsidP="00262E48">
            <w:pPr>
              <w:pStyle w:val="BodyText"/>
              <w:spacing w:before="157"/>
              <w:ind w:right="112"/>
              <w:rPr>
                <w:sz w:val="20"/>
                <w:lang w:val="en-GB"/>
              </w:rPr>
            </w:pPr>
          </w:p>
        </w:tc>
      </w:tr>
      <w:tr w:rsidR="00F843EB" w:rsidRPr="00AD7EBC" w14:paraId="46A42470" w14:textId="77777777" w:rsidTr="007D42B2">
        <w:trPr>
          <w:trHeight w:val="598"/>
        </w:trPr>
        <w:tc>
          <w:tcPr>
            <w:tcW w:w="2022" w:type="dxa"/>
          </w:tcPr>
          <w:p w14:paraId="7B7ECF2F" w14:textId="7BD54F76" w:rsidR="00F843EB" w:rsidRPr="00AD7EBC" w:rsidRDefault="00F843EB" w:rsidP="00262E48">
            <w:pPr>
              <w:pStyle w:val="BodyText"/>
              <w:spacing w:before="157"/>
              <w:ind w:right="112"/>
              <w:rPr>
                <w:sz w:val="20"/>
                <w:lang w:val="en-GB"/>
              </w:rPr>
            </w:pPr>
            <w:r w:rsidRPr="00AD7EBC">
              <w:rPr>
                <w:sz w:val="20"/>
                <w:lang w:val="en-GB"/>
              </w:rPr>
              <w:t>AEP level 2</w:t>
            </w:r>
          </w:p>
        </w:tc>
        <w:tc>
          <w:tcPr>
            <w:tcW w:w="2268" w:type="dxa"/>
          </w:tcPr>
          <w:p w14:paraId="4ADF43F9" w14:textId="7C3B87C1" w:rsidR="00F843EB" w:rsidRPr="00AD7EBC" w:rsidRDefault="00F843EB" w:rsidP="00262E48">
            <w:pPr>
              <w:pStyle w:val="BodyText"/>
              <w:spacing w:before="157"/>
              <w:ind w:right="112"/>
              <w:rPr>
                <w:sz w:val="20"/>
                <w:lang w:val="en-GB"/>
              </w:rPr>
            </w:pPr>
            <w:r w:rsidRPr="00AD7EBC">
              <w:rPr>
                <w:sz w:val="20"/>
                <w:lang w:val="en-GB"/>
              </w:rPr>
              <w:t>AEP level 3</w:t>
            </w:r>
          </w:p>
        </w:tc>
        <w:tc>
          <w:tcPr>
            <w:tcW w:w="2409" w:type="dxa"/>
          </w:tcPr>
          <w:p w14:paraId="46FDF36D" w14:textId="77777777" w:rsidR="00F843EB" w:rsidRPr="00AD7EBC" w:rsidRDefault="00F843EB" w:rsidP="00262E48">
            <w:pPr>
              <w:pStyle w:val="BodyText"/>
              <w:spacing w:before="157"/>
              <w:ind w:right="112"/>
              <w:rPr>
                <w:sz w:val="20"/>
                <w:lang w:val="en-GB"/>
              </w:rPr>
            </w:pPr>
            <w:r w:rsidRPr="00AD7EBC">
              <w:rPr>
                <w:sz w:val="20"/>
                <w:lang w:val="en-GB"/>
              </w:rPr>
              <w:t>Grade 7 (secondary)</w:t>
            </w:r>
          </w:p>
          <w:p w14:paraId="723F71B5" w14:textId="3211D24C" w:rsidR="00F843EB" w:rsidRPr="00AD7EBC" w:rsidRDefault="00F843EB" w:rsidP="00262E48">
            <w:pPr>
              <w:pStyle w:val="BodyText"/>
              <w:spacing w:before="157"/>
              <w:ind w:right="112"/>
              <w:rPr>
                <w:sz w:val="20"/>
                <w:lang w:val="en-GB"/>
              </w:rPr>
            </w:pPr>
          </w:p>
        </w:tc>
        <w:tc>
          <w:tcPr>
            <w:tcW w:w="2431" w:type="dxa"/>
          </w:tcPr>
          <w:p w14:paraId="64BA78CF" w14:textId="77777777" w:rsidR="00F843EB" w:rsidRPr="00AD7EBC" w:rsidRDefault="00F843EB" w:rsidP="00262E48">
            <w:pPr>
              <w:pStyle w:val="BodyText"/>
              <w:spacing w:before="157"/>
              <w:ind w:right="112"/>
              <w:rPr>
                <w:sz w:val="20"/>
                <w:lang w:val="en-GB"/>
              </w:rPr>
            </w:pPr>
            <w:r w:rsidRPr="00AD7EBC">
              <w:rPr>
                <w:sz w:val="20"/>
                <w:lang w:val="en-GB"/>
              </w:rPr>
              <w:t>Grade 8 (secondary)</w:t>
            </w:r>
          </w:p>
          <w:p w14:paraId="06FA2D2F" w14:textId="779534A7" w:rsidR="00F843EB" w:rsidRPr="00AD7EBC" w:rsidRDefault="00F843EB" w:rsidP="00262E48">
            <w:pPr>
              <w:pStyle w:val="BodyText"/>
              <w:spacing w:before="157"/>
              <w:ind w:right="112"/>
              <w:rPr>
                <w:sz w:val="20"/>
                <w:lang w:val="en-GB"/>
              </w:rPr>
            </w:pPr>
          </w:p>
        </w:tc>
      </w:tr>
    </w:tbl>
    <w:p w14:paraId="0C47F081" w14:textId="77777777" w:rsidR="007C69D4" w:rsidRPr="00AD7EBC" w:rsidRDefault="000D784D" w:rsidP="00C21EEA">
      <w:pPr>
        <w:pStyle w:val="BodyText"/>
        <w:spacing w:before="157"/>
        <w:ind w:right="112"/>
        <w:jc w:val="both"/>
        <w:rPr>
          <w:lang w:val="en-GB"/>
        </w:rPr>
      </w:pPr>
      <w:r w:rsidRPr="00AD7EBC">
        <w:rPr>
          <w:lang w:val="en-GB"/>
        </w:rPr>
        <w:t>The project defines s</w:t>
      </w:r>
      <w:r w:rsidR="004D7FFA" w:rsidRPr="00AD7EBC">
        <w:rPr>
          <w:lang w:val="en-GB"/>
        </w:rPr>
        <w:t>ucc</w:t>
      </w:r>
      <w:r w:rsidRPr="00AD7EBC">
        <w:rPr>
          <w:lang w:val="en-GB"/>
        </w:rPr>
        <w:t>essful transition</w:t>
      </w:r>
      <w:r w:rsidR="007C69D4" w:rsidRPr="00AD7EBC">
        <w:rPr>
          <w:lang w:val="en-GB"/>
        </w:rPr>
        <w:t xml:space="preserve"> pathways as:</w:t>
      </w:r>
    </w:p>
    <w:p w14:paraId="424458DC" w14:textId="4A677ECB" w:rsidR="002046ED" w:rsidRPr="00AD7EBC" w:rsidRDefault="007C69D4" w:rsidP="00564770">
      <w:pPr>
        <w:pStyle w:val="BodyText"/>
        <w:numPr>
          <w:ilvl w:val="0"/>
          <w:numId w:val="26"/>
        </w:numPr>
        <w:ind w:left="879" w:right="113" w:hanging="357"/>
        <w:jc w:val="both"/>
        <w:rPr>
          <w:lang w:val="en-GB"/>
        </w:rPr>
      </w:pPr>
      <w:r w:rsidRPr="00AD7EBC">
        <w:rPr>
          <w:lang w:val="en-GB"/>
        </w:rPr>
        <w:t>Formal transition between primary school to secondary school (Grade 6 to Grade 7)</w:t>
      </w:r>
    </w:p>
    <w:p w14:paraId="7F780C68" w14:textId="4E3A2DCE" w:rsidR="007C69D4" w:rsidRPr="00AD7EBC" w:rsidRDefault="007C69D4" w:rsidP="00564770">
      <w:pPr>
        <w:pStyle w:val="BodyText"/>
        <w:numPr>
          <w:ilvl w:val="0"/>
          <w:numId w:val="26"/>
        </w:numPr>
        <w:ind w:left="879" w:right="113" w:hanging="357"/>
        <w:jc w:val="both"/>
        <w:rPr>
          <w:lang w:val="en-GB"/>
        </w:rPr>
      </w:pPr>
      <w:r w:rsidRPr="00AD7EBC">
        <w:rPr>
          <w:lang w:val="en-GB"/>
        </w:rPr>
        <w:t>AEP to secondary school (AEP level 3 to Grade 7)</w:t>
      </w:r>
    </w:p>
    <w:p w14:paraId="70C622C4" w14:textId="77777777" w:rsidR="007C7D0F" w:rsidRPr="00AD7EBC" w:rsidRDefault="007C7D0F" w:rsidP="007C7D0F">
      <w:pPr>
        <w:pStyle w:val="BodyText"/>
        <w:spacing w:before="9"/>
        <w:rPr>
          <w:i/>
          <w:sz w:val="20"/>
          <w:lang w:val="en-GB"/>
        </w:rPr>
      </w:pPr>
    </w:p>
    <w:p w14:paraId="13E9FE41" w14:textId="77777777" w:rsidR="00C21EEA" w:rsidRPr="00C21EEA" w:rsidRDefault="007C7D0F" w:rsidP="00C21EEA">
      <w:pPr>
        <w:pStyle w:val="ListParagraph"/>
        <w:numPr>
          <w:ilvl w:val="0"/>
          <w:numId w:val="23"/>
        </w:numPr>
        <w:tabs>
          <w:tab w:val="left" w:pos="653"/>
        </w:tabs>
        <w:spacing w:before="158"/>
        <w:ind w:left="360" w:right="115"/>
        <w:jc w:val="both"/>
        <w:rPr>
          <w:lang w:val="en-GB"/>
        </w:rPr>
      </w:pPr>
      <w:r w:rsidRPr="00C21EEA">
        <w:rPr>
          <w:color w:val="1F487C"/>
          <w:lang w:val="en-GB"/>
        </w:rPr>
        <w:t>Replacement strategy</w:t>
      </w:r>
    </w:p>
    <w:p w14:paraId="226C064F" w14:textId="123EF281" w:rsidR="00A5388B" w:rsidRPr="00C21EEA" w:rsidRDefault="00A5388B" w:rsidP="00C21EEA">
      <w:pPr>
        <w:rPr>
          <w:lang w:val="en-GB"/>
        </w:rPr>
      </w:pPr>
      <w:r w:rsidRPr="00C21EEA">
        <w:rPr>
          <w:lang w:val="en-GB"/>
        </w:rPr>
        <w:t>The replacement strategy aims to replace a girl with another in-school</w:t>
      </w:r>
      <w:r w:rsidR="00375475" w:rsidRPr="00C21EEA">
        <w:rPr>
          <w:lang w:val="en-GB"/>
        </w:rPr>
        <w:t xml:space="preserve"> or AEP</w:t>
      </w:r>
      <w:r w:rsidRPr="00C21EEA">
        <w:rPr>
          <w:lang w:val="en-GB"/>
        </w:rPr>
        <w:t xml:space="preserve"> girl who closely matches the demographics of the lost girl, as well as mirroring her level of exposure to the project intervention. If a girl has been lost from the sample but had been enrolled in the intervention for two years for example, then she should be replaced by an in-school</w:t>
      </w:r>
      <w:r w:rsidR="00375475" w:rsidRPr="00C21EEA">
        <w:rPr>
          <w:lang w:val="en-GB"/>
        </w:rPr>
        <w:t xml:space="preserve"> / AEP</w:t>
      </w:r>
      <w:r w:rsidRPr="00C21EEA">
        <w:rPr>
          <w:lang w:val="en-GB"/>
        </w:rPr>
        <w:t xml:space="preserve"> girl, preferably in the same class, who also had been enrolled in the intervention for two years. In this scenario, the replaced girls should match the lost girls in terms of demographics, marginalization status, subgroups, disability level (if known), and level of exposure to the </w:t>
      </w:r>
      <w:r w:rsidRPr="00C21EEA">
        <w:rPr>
          <w:lang w:val="en-GB"/>
        </w:rPr>
        <w:lastRenderedPageBreak/>
        <w:t>intervention.</w:t>
      </w:r>
    </w:p>
    <w:p w14:paraId="5C37CFBC" w14:textId="367BC503" w:rsidR="00A5388B" w:rsidRPr="00AD7EBC" w:rsidRDefault="00A5388B" w:rsidP="00C21EEA">
      <w:pPr>
        <w:pStyle w:val="BodyText"/>
        <w:spacing w:before="158"/>
        <w:ind w:right="115"/>
        <w:jc w:val="both"/>
        <w:rPr>
          <w:lang w:val="en-GB"/>
        </w:rPr>
      </w:pPr>
      <w:r w:rsidRPr="00AD7EBC">
        <w:rPr>
          <w:lang w:val="en-GB"/>
        </w:rPr>
        <w:t xml:space="preserve">The project would have to have a one-for-one replacement strategy to substitute for girls who have dropped out of the study. After drawing an initial list of suitable replacements, the replacement girl will be selected at random, by using the Kish Grid method for instance. The replacement process is designed to be followed at subsequent evaluation points after baseline, </w:t>
      </w:r>
      <w:r w:rsidR="00881834" w:rsidRPr="00AD7EBC">
        <w:rPr>
          <w:lang w:val="en-GB"/>
        </w:rPr>
        <w:t xml:space="preserve">which means that the EE will seek to re-contact girls </w:t>
      </w:r>
      <w:r w:rsidRPr="00AD7EBC">
        <w:rPr>
          <w:lang w:val="en-GB"/>
        </w:rPr>
        <w:t>at midline and endline,</w:t>
      </w:r>
      <w:r w:rsidR="00881834" w:rsidRPr="00AD7EBC">
        <w:rPr>
          <w:lang w:val="en-GB"/>
        </w:rPr>
        <w:t xml:space="preserve"> but if they failed to find them for various reasons, they will action the replacement protocol</w:t>
      </w:r>
      <w:r w:rsidRPr="00AD7EBC">
        <w:rPr>
          <w:lang w:val="en-GB"/>
        </w:rPr>
        <w:t>. In case a beneficiary girl cannot be found at school</w:t>
      </w:r>
      <w:r w:rsidR="0016749D" w:rsidRPr="00AD7EBC">
        <w:rPr>
          <w:lang w:val="en-GB"/>
        </w:rPr>
        <w:t xml:space="preserve"> or AEP </w:t>
      </w:r>
      <w:r w:rsidR="00910C5C">
        <w:rPr>
          <w:lang w:val="en-GB"/>
        </w:rPr>
        <w:t>centre</w:t>
      </w:r>
      <w:r w:rsidRPr="00AD7EBC">
        <w:rPr>
          <w:lang w:val="en-GB"/>
        </w:rPr>
        <w:t xml:space="preserve">, </w:t>
      </w:r>
      <w:r w:rsidR="00881834" w:rsidRPr="00AD7EBC">
        <w:rPr>
          <w:lang w:val="en-GB"/>
        </w:rPr>
        <w:t>the EE will contact their family.</w:t>
      </w:r>
      <w:r w:rsidRPr="00AD7EBC">
        <w:rPr>
          <w:lang w:val="en-GB"/>
        </w:rPr>
        <w:t xml:space="preserve"> If the girl is found there and is enrolled, the learning assessment should be administered at HH</w:t>
      </w:r>
      <w:r w:rsidR="00881834" w:rsidRPr="00AD7EBC">
        <w:rPr>
          <w:lang w:val="en-GB"/>
        </w:rPr>
        <w:t xml:space="preserve"> level</w:t>
      </w:r>
      <w:r w:rsidRPr="00AD7EBC">
        <w:rPr>
          <w:lang w:val="en-GB"/>
        </w:rPr>
        <w:t xml:space="preserve"> (or at school</w:t>
      </w:r>
      <w:r w:rsidR="0016749D" w:rsidRPr="00AD7EBC">
        <w:rPr>
          <w:lang w:val="en-GB"/>
        </w:rPr>
        <w:t xml:space="preserve"> / AEP </w:t>
      </w:r>
      <w:r w:rsidR="00910C5C">
        <w:rPr>
          <w:lang w:val="en-GB"/>
        </w:rPr>
        <w:t>centre</w:t>
      </w:r>
      <w:r w:rsidRPr="00AD7EBC">
        <w:rPr>
          <w:lang w:val="en-GB"/>
        </w:rPr>
        <w:t xml:space="preserve"> when she is there). If she is no longer enrolled, </w:t>
      </w:r>
      <w:r w:rsidR="00881834" w:rsidRPr="00AD7EBC">
        <w:rPr>
          <w:lang w:val="en-GB"/>
        </w:rPr>
        <w:t>the HH survey</w:t>
      </w:r>
      <w:r w:rsidRPr="00AD7EBC">
        <w:rPr>
          <w:lang w:val="en-GB"/>
        </w:rPr>
        <w:t xml:space="preserve"> should still be administered and transition recorded as well as reasons for drop out.</w:t>
      </w:r>
    </w:p>
    <w:p w14:paraId="64293A25" w14:textId="77777777" w:rsidR="00A5388B" w:rsidRPr="00AD7EBC" w:rsidRDefault="00A5388B" w:rsidP="00C21EEA">
      <w:pPr>
        <w:rPr>
          <w:color w:val="FF0000"/>
          <w:lang w:val="en-GB"/>
        </w:rPr>
      </w:pPr>
    </w:p>
    <w:p w14:paraId="1CA893AE" w14:textId="255056EE" w:rsidR="00A5388B" w:rsidRPr="00AD7EBC" w:rsidRDefault="00A5388B" w:rsidP="00C21EEA">
      <w:pPr>
        <w:jc w:val="both"/>
        <w:rPr>
          <w:lang w:val="en-GB"/>
        </w:rPr>
      </w:pPr>
      <w:r w:rsidRPr="00AD7EBC">
        <w:rPr>
          <w:lang w:val="en-GB"/>
        </w:rPr>
        <w:t>There is no replacement strategy proposed for the transition sample. This is because the 30% attrition allowance should be sufficient to ensure that statistical power remains at midline and endline. We propose to reconsider this approach during fieldwork for midline. If attrition of the transition sample appears to be exceeding the 30% assumption, we will discuss the options for a replacement strategy for th</w:t>
      </w:r>
      <w:r w:rsidR="005239B1" w:rsidRPr="00AD7EBC">
        <w:rPr>
          <w:lang w:val="en-GB"/>
        </w:rPr>
        <w:t>e transition sample with the FM.</w:t>
      </w:r>
    </w:p>
    <w:p w14:paraId="4C3E4772" w14:textId="5D2DBF8A" w:rsidR="007C7D0F" w:rsidRPr="00C21EEA" w:rsidRDefault="007C7D0F" w:rsidP="00C21EEA"/>
    <w:p w14:paraId="2B0E40FA" w14:textId="7A9686B9" w:rsidR="00810F8E" w:rsidRPr="00AD7EBC" w:rsidRDefault="00810F8E" w:rsidP="00C21EEA">
      <w:pPr>
        <w:pStyle w:val="ListParagraph"/>
        <w:numPr>
          <w:ilvl w:val="1"/>
          <w:numId w:val="9"/>
        </w:numPr>
        <w:tabs>
          <w:tab w:val="left" w:pos="473"/>
        </w:tabs>
        <w:ind w:left="372"/>
        <w:jc w:val="both"/>
        <w:rPr>
          <w:b/>
          <w:lang w:val="en-GB"/>
        </w:rPr>
      </w:pPr>
      <w:r w:rsidRPr="00AD7EBC">
        <w:rPr>
          <w:color w:val="1F487C"/>
          <w:lang w:val="en-GB"/>
        </w:rPr>
        <w:t xml:space="preserve">Power calculations and sample sizes </w:t>
      </w:r>
    </w:p>
    <w:p w14:paraId="4017147B" w14:textId="417A3F19" w:rsidR="007C7D0F" w:rsidRPr="00AD7EBC" w:rsidRDefault="007C7D0F" w:rsidP="007C7D0F">
      <w:pPr>
        <w:pStyle w:val="BodyText"/>
        <w:rPr>
          <w:lang w:val="en-GB"/>
        </w:rPr>
      </w:pPr>
    </w:p>
    <w:p w14:paraId="7AE57FDF" w14:textId="72C2F56A" w:rsidR="00402D44" w:rsidRPr="00AD7EBC" w:rsidRDefault="00402D44" w:rsidP="00C21EEA">
      <w:pPr>
        <w:pStyle w:val="ListParagraph"/>
        <w:ind w:left="358"/>
        <w:outlineLvl w:val="0"/>
        <w:rPr>
          <w:b/>
          <w:lang w:val="en-GB"/>
        </w:rPr>
      </w:pPr>
      <w:r w:rsidRPr="00AD7EBC">
        <w:rPr>
          <w:b/>
          <w:lang w:val="en-GB"/>
        </w:rPr>
        <w:t>Simple Random Sampling</w:t>
      </w:r>
    </w:p>
    <w:p w14:paraId="3C4DD2B4" w14:textId="77777777" w:rsidR="00402D44" w:rsidRPr="00AD7EBC" w:rsidRDefault="00402D44" w:rsidP="00402D44">
      <w:pPr>
        <w:pStyle w:val="ListParagraph"/>
        <w:rPr>
          <w:b/>
          <w:lang w:val="en-GB"/>
        </w:rPr>
      </w:pPr>
    </w:p>
    <w:p w14:paraId="6F21E819" w14:textId="1C5D50F4" w:rsidR="00402D44" w:rsidRPr="00AD7EBC" w:rsidRDefault="00402D44" w:rsidP="00C21EEA">
      <w:pPr>
        <w:pStyle w:val="ListParagraph"/>
        <w:ind w:left="358"/>
        <w:rPr>
          <w:lang w:val="en-GB"/>
        </w:rPr>
      </w:pPr>
      <w:r w:rsidRPr="00AD7EBC">
        <w:rPr>
          <w:lang w:val="en-GB"/>
        </w:rPr>
        <w:t xml:space="preserve">The Learning sample size was calculated in Stata using </w:t>
      </w:r>
      <w:proofErr w:type="spellStart"/>
      <w:r w:rsidRPr="00AD7EBC">
        <w:rPr>
          <w:rFonts w:ascii="Courier New" w:hAnsi="Courier New" w:cs="Courier New"/>
          <w:sz w:val="24"/>
          <w:lang w:val="en-GB"/>
        </w:rPr>
        <w:t>sampsi</w:t>
      </w:r>
      <w:proofErr w:type="spellEnd"/>
      <w:r w:rsidRPr="00AD7EBC">
        <w:rPr>
          <w:lang w:val="en-GB"/>
        </w:rPr>
        <w:t>, t</w:t>
      </w:r>
      <w:r w:rsidR="00BC0501" w:rsidRPr="00AD7EBC">
        <w:rPr>
          <w:lang w:val="en-GB"/>
        </w:rPr>
        <w:t>o detect a difference of 0.25 SD</w:t>
      </w:r>
      <w:r w:rsidRPr="00AD7EBC">
        <w:rPr>
          <w:lang w:val="en-GB"/>
        </w:rPr>
        <w:t xml:space="preserve">s in the (continuous) outcome measure between treatment and comparison groups with significance level 5% and power 80%. </w:t>
      </w:r>
    </w:p>
    <w:p w14:paraId="02D20843" w14:textId="77777777" w:rsidR="00402D44" w:rsidRPr="00AD7EBC" w:rsidRDefault="00402D44" w:rsidP="00C21EEA">
      <w:pPr>
        <w:pStyle w:val="ListParagraph"/>
        <w:ind w:left="358"/>
        <w:rPr>
          <w:lang w:val="en-GB"/>
        </w:rPr>
      </w:pPr>
    </w:p>
    <w:p w14:paraId="4E93AB82" w14:textId="77777777" w:rsidR="00402D44" w:rsidRPr="00AD7EBC" w:rsidRDefault="00402D44" w:rsidP="00C21EEA">
      <w:pPr>
        <w:pStyle w:val="ListParagraph"/>
        <w:ind w:left="358"/>
        <w:rPr>
          <w:lang w:val="en-GB"/>
        </w:rPr>
      </w:pPr>
      <w:r w:rsidRPr="00AD7EBC">
        <w:rPr>
          <w:lang w:val="en-GB"/>
        </w:rPr>
        <w:t>For allocation ratios, two assumptions were used to generate multiple scenarios. In the first set of scenarios, treatment and comparison groups are the same size (1:1 ratio).</w:t>
      </w:r>
    </w:p>
    <w:p w14:paraId="12278AC6" w14:textId="77777777" w:rsidR="00402D44" w:rsidRPr="00AD7EBC" w:rsidRDefault="00402D44" w:rsidP="00C21EEA">
      <w:pPr>
        <w:pStyle w:val="ListParagraph"/>
        <w:ind w:left="358"/>
        <w:rPr>
          <w:lang w:val="en-GB"/>
        </w:rPr>
      </w:pPr>
    </w:p>
    <w:p w14:paraId="120391AB" w14:textId="77777777" w:rsidR="00402D44" w:rsidRPr="00AD7EBC" w:rsidRDefault="00402D44" w:rsidP="00C21EEA">
      <w:pPr>
        <w:pStyle w:val="ListParagraph"/>
        <w:ind w:left="358"/>
        <w:rPr>
          <w:lang w:val="en-GB"/>
        </w:rPr>
      </w:pPr>
      <w:r w:rsidRPr="00AD7EBC">
        <w:rPr>
          <w:lang w:val="en-GB"/>
        </w:rPr>
        <w:t>This assumes a simple random sample i.e. that students are sampled from the population, and students are not clustered within sampled schools/AEP.</w:t>
      </w:r>
    </w:p>
    <w:p w14:paraId="2DF80864" w14:textId="77777777" w:rsidR="00402D44" w:rsidRPr="00AD7EBC" w:rsidRDefault="00402D44" w:rsidP="00C21EEA">
      <w:pPr>
        <w:pStyle w:val="ListParagraph"/>
        <w:ind w:left="358"/>
        <w:rPr>
          <w:lang w:val="en-GB"/>
        </w:rPr>
      </w:pPr>
      <w:r w:rsidRPr="00AD7EBC">
        <w:rPr>
          <w:lang w:val="en-GB"/>
        </w:rPr>
        <w:t>This gave a sample size of 504 overall; 252 in each group.</w:t>
      </w:r>
    </w:p>
    <w:p w14:paraId="1F66B1CE" w14:textId="77777777" w:rsidR="00402D44" w:rsidRPr="00AD7EBC" w:rsidRDefault="00402D44" w:rsidP="00402D44">
      <w:pPr>
        <w:pStyle w:val="ListParagraph"/>
        <w:rPr>
          <w:noProof/>
          <w:lang w:val="en-GB"/>
        </w:rPr>
      </w:pPr>
    </w:p>
    <w:p w14:paraId="41BFFEA2" w14:textId="77777777" w:rsidR="00402D44" w:rsidRPr="00AD7EBC" w:rsidRDefault="00402D44" w:rsidP="00402D44">
      <w:pPr>
        <w:pStyle w:val="ListParagraph"/>
        <w:rPr>
          <w:lang w:val="en-GB"/>
        </w:rPr>
      </w:pPr>
      <w:r w:rsidRPr="00AD7EBC">
        <w:rPr>
          <w:noProof/>
          <w:lang w:val="en-GB"/>
        </w:rPr>
        <w:lastRenderedPageBreak/>
        <w:drawing>
          <wp:inline distT="0" distB="0" distL="0" distR="0" wp14:anchorId="230AAEA1" wp14:editId="6BDA1533">
            <wp:extent cx="3646967" cy="298507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634" t="27846" r="33720" b="35683"/>
                    <a:stretch/>
                  </pic:blipFill>
                  <pic:spPr bwMode="auto">
                    <a:xfrm>
                      <a:off x="0" y="0"/>
                      <a:ext cx="3675720" cy="300860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D985BAC" w14:textId="77777777" w:rsidR="00402D44" w:rsidRPr="00AD7EBC" w:rsidRDefault="00402D44" w:rsidP="00402D44">
      <w:pPr>
        <w:pStyle w:val="ListParagraph"/>
        <w:rPr>
          <w:lang w:val="en-GB"/>
        </w:rPr>
      </w:pPr>
    </w:p>
    <w:p w14:paraId="5901D8FB" w14:textId="77777777" w:rsidR="00402D44" w:rsidRPr="00AD7EBC" w:rsidRDefault="00402D44" w:rsidP="00402D44">
      <w:pPr>
        <w:pStyle w:val="ListParagraph"/>
        <w:rPr>
          <w:lang w:val="en-GB"/>
        </w:rPr>
      </w:pPr>
      <w:r w:rsidRPr="00AD7EBC">
        <w:rPr>
          <w:lang w:val="en-GB"/>
        </w:rPr>
        <w:t>The calculation was repeated using a 2:1 ratio between the treatment and comparison group. This gave a sample size of 567 students; 378 in the treatment group, 189 in the comparison group.</w:t>
      </w:r>
    </w:p>
    <w:p w14:paraId="36EE0CFF" w14:textId="77777777" w:rsidR="00402D44" w:rsidRPr="00AD7EBC" w:rsidRDefault="00402D44" w:rsidP="00402D44">
      <w:pPr>
        <w:pStyle w:val="ListParagraph"/>
        <w:rPr>
          <w:lang w:val="en-GB"/>
        </w:rPr>
      </w:pPr>
    </w:p>
    <w:p w14:paraId="6575571F" w14:textId="77777777" w:rsidR="00402D44" w:rsidRPr="00AD7EBC" w:rsidRDefault="00402D44" w:rsidP="00402D44">
      <w:pPr>
        <w:pStyle w:val="ListParagraph"/>
        <w:rPr>
          <w:lang w:val="en-GB"/>
        </w:rPr>
      </w:pPr>
      <w:r w:rsidRPr="00AD7EBC">
        <w:rPr>
          <w:lang w:val="en-GB"/>
        </w:rPr>
        <w:t xml:space="preserve">The Transition sample size was also calculated in Stata using </w:t>
      </w:r>
      <w:proofErr w:type="spellStart"/>
      <w:r w:rsidRPr="00AD7EBC">
        <w:rPr>
          <w:rFonts w:ascii="Courier New" w:hAnsi="Courier New" w:cs="Courier New"/>
          <w:sz w:val="24"/>
          <w:lang w:val="en-GB"/>
        </w:rPr>
        <w:t>sampsi</w:t>
      </w:r>
      <w:proofErr w:type="spellEnd"/>
      <w:r w:rsidRPr="00AD7EBC">
        <w:rPr>
          <w:lang w:val="en-GB"/>
        </w:rPr>
        <w:t xml:space="preserve">, to detect a </w:t>
      </w:r>
      <w:proofErr w:type="gramStart"/>
      <w:r w:rsidRPr="00AD7EBC">
        <w:rPr>
          <w:lang w:val="en-GB"/>
        </w:rPr>
        <w:t>10 percentage</w:t>
      </w:r>
      <w:proofErr w:type="gramEnd"/>
      <w:r w:rsidRPr="00AD7EBC">
        <w:rPr>
          <w:lang w:val="en-GB"/>
        </w:rPr>
        <w:t xml:space="preserve"> point difference in the (binary) outcome measure between treatment and comparison groups using a two-sided test, with significance level 5% and power 80% and again with treatment and comparison groups being the same size (1:1 ratio). This assumes a simple random sample i.e. that students are sampled from the population, and students are not clustered within sampled schools/AEP.</w:t>
      </w:r>
    </w:p>
    <w:p w14:paraId="619C1AD9" w14:textId="0C63C809" w:rsidR="00402D44" w:rsidRPr="00AD7EBC" w:rsidRDefault="00402D44" w:rsidP="00402D44">
      <w:pPr>
        <w:pStyle w:val="ListParagraph"/>
        <w:rPr>
          <w:lang w:val="en-GB"/>
        </w:rPr>
      </w:pPr>
      <w:r w:rsidRPr="00AD7EBC">
        <w:rPr>
          <w:lang w:val="en-GB"/>
        </w:rPr>
        <w:t>This gave a sample size of 816 overall; 408 in each group.</w:t>
      </w:r>
    </w:p>
    <w:p w14:paraId="6AFDBDCF" w14:textId="77777777" w:rsidR="00402D44" w:rsidRPr="00AD7EBC" w:rsidRDefault="00402D44" w:rsidP="00402D44">
      <w:pPr>
        <w:pStyle w:val="ListParagraph"/>
        <w:rPr>
          <w:lang w:val="en-GB"/>
        </w:rPr>
      </w:pPr>
    </w:p>
    <w:p w14:paraId="3CBEE7D3" w14:textId="77777777" w:rsidR="00402D44" w:rsidRPr="00AD7EBC" w:rsidRDefault="00402D44" w:rsidP="00402D44">
      <w:pPr>
        <w:pStyle w:val="ListParagraph"/>
        <w:rPr>
          <w:lang w:val="en-GB"/>
        </w:rPr>
      </w:pPr>
      <w:r w:rsidRPr="00AD7EBC">
        <w:rPr>
          <w:noProof/>
          <w:lang w:val="en-GB"/>
        </w:rPr>
        <w:drawing>
          <wp:inline distT="0" distB="0" distL="0" distR="0" wp14:anchorId="286C4701" wp14:editId="5CECC668">
            <wp:extent cx="4433777" cy="284220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529" t="34575" r="24628" b="32698"/>
                    <a:stretch/>
                  </pic:blipFill>
                  <pic:spPr bwMode="auto">
                    <a:xfrm>
                      <a:off x="0" y="0"/>
                      <a:ext cx="4469965" cy="286540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2D06033" w14:textId="77777777" w:rsidR="00402D44" w:rsidRPr="00AD7EBC" w:rsidRDefault="00402D44" w:rsidP="00402D44">
      <w:pPr>
        <w:pStyle w:val="ListParagraph"/>
        <w:rPr>
          <w:lang w:val="en-GB"/>
        </w:rPr>
      </w:pPr>
    </w:p>
    <w:p w14:paraId="0F073024" w14:textId="77777777" w:rsidR="00402D44" w:rsidRPr="00AD7EBC" w:rsidRDefault="00402D44" w:rsidP="00402D44">
      <w:pPr>
        <w:pStyle w:val="ListParagraph"/>
        <w:rPr>
          <w:lang w:val="en-GB"/>
        </w:rPr>
      </w:pPr>
      <w:r w:rsidRPr="00AD7EBC">
        <w:rPr>
          <w:lang w:val="en-GB"/>
        </w:rPr>
        <w:lastRenderedPageBreak/>
        <w:t xml:space="preserve">This too was repeated with a 2:1 ratio between treatment and comparison </w:t>
      </w:r>
      <w:proofErr w:type="gramStart"/>
      <w:r w:rsidRPr="00AD7EBC">
        <w:rPr>
          <w:lang w:val="en-GB"/>
        </w:rPr>
        <w:t>groups, and</w:t>
      </w:r>
      <w:proofErr w:type="gramEnd"/>
      <w:r w:rsidRPr="00AD7EBC">
        <w:rPr>
          <w:lang w:val="en-GB"/>
        </w:rPr>
        <w:t xml:space="preserve"> resulted in a sample size of 918; 612 in the treatment group and 306 in the comparison group.</w:t>
      </w:r>
    </w:p>
    <w:p w14:paraId="21CE7D9E" w14:textId="77777777" w:rsidR="00402D44" w:rsidRPr="00AD7EBC" w:rsidRDefault="00402D44" w:rsidP="00402D44">
      <w:pPr>
        <w:pStyle w:val="ListParagraph"/>
        <w:rPr>
          <w:lang w:val="en-GB"/>
        </w:rPr>
      </w:pPr>
    </w:p>
    <w:p w14:paraId="09B5EB25" w14:textId="77777777" w:rsidR="00402D44" w:rsidRPr="00AD7EBC" w:rsidRDefault="00402D44" w:rsidP="00402D44">
      <w:pPr>
        <w:pStyle w:val="ListParagraph"/>
        <w:rPr>
          <w:lang w:val="en-GB"/>
        </w:rPr>
      </w:pPr>
      <w:r w:rsidRPr="00AD7EBC">
        <w:rPr>
          <w:lang w:val="en-GB"/>
        </w:rPr>
        <w:t>Since the study will use a linked sample (following the same girls for both the learning and the transition study) it is necessary to use the sample size from the transition study (as this is larger than the equivalent learning study sample).</w:t>
      </w:r>
    </w:p>
    <w:p w14:paraId="09D366B8" w14:textId="3D5F3AC7" w:rsidR="00402D44" w:rsidRPr="00AD7EBC" w:rsidRDefault="00402D44" w:rsidP="007C7D0F">
      <w:pPr>
        <w:pStyle w:val="BodyText"/>
        <w:rPr>
          <w:lang w:val="en-GB"/>
        </w:rPr>
      </w:pPr>
    </w:p>
    <w:p w14:paraId="1BA8899D" w14:textId="303460EF" w:rsidR="00AC5973" w:rsidRPr="00AD7EBC" w:rsidRDefault="00AC5973" w:rsidP="00011402">
      <w:pPr>
        <w:pStyle w:val="BodyText"/>
        <w:outlineLvl w:val="0"/>
        <w:rPr>
          <w:b/>
          <w:lang w:val="en-GB"/>
        </w:rPr>
      </w:pPr>
      <w:r w:rsidRPr="00AD7EBC">
        <w:rPr>
          <w:b/>
          <w:lang w:val="en-GB"/>
        </w:rPr>
        <w:t>Attrition</w:t>
      </w:r>
    </w:p>
    <w:p w14:paraId="64776B44" w14:textId="77777777" w:rsidR="00AC5973" w:rsidRPr="00AD7EBC" w:rsidRDefault="00AC5973" w:rsidP="00AC5973">
      <w:pPr>
        <w:pStyle w:val="BodyText"/>
        <w:rPr>
          <w:b/>
          <w:lang w:val="en-GB"/>
        </w:rPr>
      </w:pPr>
    </w:p>
    <w:p w14:paraId="095EC52E" w14:textId="64758B7C" w:rsidR="00AC5973" w:rsidRPr="00AD7EBC" w:rsidRDefault="00AC5973" w:rsidP="00011402">
      <w:pPr>
        <w:pStyle w:val="BodyText"/>
        <w:outlineLvl w:val="0"/>
        <w:rPr>
          <w:lang w:val="en-GB"/>
        </w:rPr>
      </w:pPr>
      <w:r w:rsidRPr="00AD7EBC">
        <w:rPr>
          <w:lang w:val="en-GB"/>
        </w:rPr>
        <w:t>The attrition rate is assumed to be 30% in all scenarios.</w:t>
      </w:r>
    </w:p>
    <w:p w14:paraId="0C74EEF0" w14:textId="1A0AC046" w:rsidR="00AC5973" w:rsidRPr="00AD7EBC" w:rsidRDefault="00AC5973" w:rsidP="00AC5973">
      <w:pPr>
        <w:pStyle w:val="BodyText"/>
        <w:rPr>
          <w:lang w:val="en-GB"/>
        </w:rPr>
      </w:pPr>
    </w:p>
    <w:p w14:paraId="2657D8A7" w14:textId="578F2B34" w:rsidR="00AC5973" w:rsidRPr="00AD7EBC" w:rsidRDefault="00AC5973" w:rsidP="00011402">
      <w:pPr>
        <w:pStyle w:val="BodyText"/>
        <w:outlineLvl w:val="0"/>
        <w:rPr>
          <w:b/>
          <w:lang w:val="en-GB"/>
        </w:rPr>
      </w:pPr>
      <w:r w:rsidRPr="00AD7EBC">
        <w:rPr>
          <w:b/>
          <w:lang w:val="en-GB"/>
        </w:rPr>
        <w:t>Clustering</w:t>
      </w:r>
    </w:p>
    <w:p w14:paraId="2A79490D" w14:textId="77777777" w:rsidR="00AC5973" w:rsidRPr="00AD7EBC" w:rsidRDefault="00AC5973" w:rsidP="00AC5973">
      <w:pPr>
        <w:pStyle w:val="BodyText"/>
        <w:rPr>
          <w:b/>
          <w:lang w:val="en-GB"/>
        </w:rPr>
      </w:pPr>
    </w:p>
    <w:p w14:paraId="131F5344" w14:textId="77777777" w:rsidR="00AC5973" w:rsidRPr="00AD7EBC" w:rsidRDefault="00AC5973" w:rsidP="00AC5973">
      <w:pPr>
        <w:pStyle w:val="BodyText"/>
        <w:rPr>
          <w:lang w:val="en-GB"/>
        </w:rPr>
      </w:pPr>
      <w:r w:rsidRPr="00AD7EBC">
        <w:rPr>
          <w:lang w:val="en-GB"/>
        </w:rPr>
        <w:t>The sample will be selected using a clustered sampling approach. In the treatment group we will sample schools/AEPs. The schools/AEPs will be sampled using a stratified random sampling approach such that they are representative of the treatment group in terms of province and community size; the stratifying variables. From selected schools/AEPs girls will be sampled such that the proportion of girls in each grade matches that in Table 1 of section 6d. The comparison group of school/AEP will be selected using the same clustering approach as the treatment schools/AEPs; sampling schools/AEPs first, then girls. The comparison group will be drawn such that it matches the characteristics of the treatment group (as far as is possible) in terms of the stratifying variables.</w:t>
      </w:r>
    </w:p>
    <w:p w14:paraId="33CA0DF4" w14:textId="77777777" w:rsidR="00AC5973" w:rsidRPr="00AD7EBC" w:rsidRDefault="00AC5973" w:rsidP="00AC5973">
      <w:pPr>
        <w:pStyle w:val="BodyText"/>
        <w:rPr>
          <w:lang w:val="en-GB"/>
        </w:rPr>
      </w:pPr>
    </w:p>
    <w:p w14:paraId="69861098" w14:textId="77777777" w:rsidR="00AC5973" w:rsidRPr="00AD7EBC" w:rsidRDefault="00AC5973" w:rsidP="00AC5973">
      <w:pPr>
        <w:pStyle w:val="BodyText"/>
        <w:rPr>
          <w:lang w:val="en-GB"/>
        </w:rPr>
      </w:pPr>
      <w:r w:rsidRPr="00AD7EBC">
        <w:rPr>
          <w:lang w:val="en-GB"/>
        </w:rPr>
        <w:t>The transition and the learning sample will be a linked sample (the same girls selected in the learning sample will form the transition sample; after the learning assessments/measurements we will follow-up these girls in their homes in the wider community).</w:t>
      </w:r>
    </w:p>
    <w:p w14:paraId="573797F2" w14:textId="77777777" w:rsidR="00AC5973" w:rsidRPr="00AD7EBC" w:rsidRDefault="00AC5973" w:rsidP="00AC5973">
      <w:pPr>
        <w:pStyle w:val="BodyText"/>
        <w:rPr>
          <w:lang w:val="en-GB"/>
        </w:rPr>
      </w:pPr>
    </w:p>
    <w:p w14:paraId="0ACCFB01" w14:textId="77777777" w:rsidR="00AC5973" w:rsidRPr="00AD7EBC" w:rsidRDefault="00AC5973" w:rsidP="00AC5973">
      <w:pPr>
        <w:pStyle w:val="BodyText"/>
        <w:rPr>
          <w:lang w:val="en-GB"/>
        </w:rPr>
      </w:pPr>
      <w:r w:rsidRPr="00AD7EBC">
        <w:rPr>
          <w:lang w:val="en-GB"/>
        </w:rPr>
        <w:t>Since the unit of sampling will be schools/AEPs, the sample size needs to be adjusted for clustering (as girls in each school/AEP are likely to be more like other girls in their school than they are like girls in other schools and so are not a simple random sample). This is achieved by multiplying the sample size by the design effect (DEFF).</w:t>
      </w:r>
    </w:p>
    <w:p w14:paraId="12939981" w14:textId="77777777" w:rsidR="00AC5973" w:rsidRPr="00AD7EBC" w:rsidRDefault="00AC5973" w:rsidP="00AC5973">
      <w:pPr>
        <w:pStyle w:val="ListParagraph"/>
        <w:rPr>
          <w:rFonts w:eastAsiaTheme="minorEastAsia"/>
          <w:lang w:val="en-GB"/>
        </w:rPr>
      </w:pPr>
      <m:oMathPara>
        <m:oMathParaPr>
          <m:jc m:val="center"/>
        </m:oMathParaPr>
        <m:oMath>
          <m:r>
            <w:rPr>
              <w:rFonts w:ascii="Cambria Math" w:hAnsi="Cambria Math"/>
              <w:lang w:val="en-GB"/>
            </w:rPr>
            <m:t>DEFF=1+ ρ(n-1)</m:t>
          </m:r>
        </m:oMath>
      </m:oMathPara>
    </w:p>
    <w:p w14:paraId="4374B0D2" w14:textId="77777777" w:rsidR="00AC5973" w:rsidRPr="00AD7EBC" w:rsidRDefault="00AC5973" w:rsidP="00AC5973">
      <w:pPr>
        <w:pStyle w:val="ListParagraph"/>
        <w:rPr>
          <w:lang w:val="en-GB"/>
        </w:rPr>
      </w:pPr>
      <w:r w:rsidRPr="00AD7EBC">
        <w:rPr>
          <w:lang w:val="en-GB"/>
        </w:rPr>
        <w:t xml:space="preserve">where </w:t>
      </w:r>
      <w:r w:rsidRPr="00AD7EBC">
        <w:rPr>
          <w:rFonts w:ascii="Cambria Math" w:hAnsi="Cambria Math"/>
          <w:i/>
          <w:lang w:val="en-GB"/>
        </w:rPr>
        <w:t>ρ</w:t>
      </w:r>
      <w:r w:rsidRPr="00AD7EBC">
        <w:rPr>
          <w:lang w:val="en-GB"/>
        </w:rPr>
        <w:t xml:space="preserve"> is the </w:t>
      </w:r>
      <w:proofErr w:type="spellStart"/>
      <w:r w:rsidRPr="00AD7EBC">
        <w:rPr>
          <w:lang w:val="en-GB"/>
        </w:rPr>
        <w:t>intraclass</w:t>
      </w:r>
      <w:proofErr w:type="spellEnd"/>
      <w:r w:rsidRPr="00AD7EBC">
        <w:rPr>
          <w:lang w:val="en-GB"/>
        </w:rPr>
        <w:t xml:space="preserve"> correlation, and </w:t>
      </w:r>
      <w:r w:rsidRPr="00AD7EBC">
        <w:rPr>
          <w:rFonts w:ascii="Cambria Math" w:hAnsi="Cambria Math"/>
          <w:i/>
          <w:lang w:val="en-GB"/>
        </w:rPr>
        <w:t>n</w:t>
      </w:r>
      <w:r w:rsidRPr="00AD7EBC">
        <w:rPr>
          <w:lang w:val="en-GB"/>
        </w:rPr>
        <w:t xml:space="preserve"> is the typical cluster size. </w:t>
      </w:r>
    </w:p>
    <w:p w14:paraId="507999A3" w14:textId="7CE15EFD" w:rsidR="007C7D0F" w:rsidRPr="00AD7EBC" w:rsidRDefault="007C7D0F" w:rsidP="007C7D0F">
      <w:pPr>
        <w:pStyle w:val="BodyText"/>
        <w:spacing w:before="1"/>
        <w:rPr>
          <w:sz w:val="28"/>
          <w:lang w:val="en-GB"/>
        </w:rPr>
      </w:pPr>
    </w:p>
    <w:tbl>
      <w:tblPr>
        <w:tblStyle w:val="PlainTable11"/>
        <w:tblW w:w="10028" w:type="dxa"/>
        <w:tblLook w:val="04A0" w:firstRow="1" w:lastRow="0" w:firstColumn="1" w:lastColumn="0" w:noHBand="0" w:noVBand="1"/>
      </w:tblPr>
      <w:tblGrid>
        <w:gridCol w:w="1384"/>
        <w:gridCol w:w="1657"/>
        <w:gridCol w:w="851"/>
        <w:gridCol w:w="1070"/>
        <w:gridCol w:w="1226"/>
        <w:gridCol w:w="1248"/>
        <w:gridCol w:w="1535"/>
        <w:gridCol w:w="1057"/>
      </w:tblGrid>
      <w:tr w:rsidR="00AC5973" w:rsidRPr="00AD7EBC" w14:paraId="305E962A" w14:textId="21FE1A34" w:rsidTr="00AC5973">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384" w:type="dxa"/>
            <w:vMerge w:val="restart"/>
            <w:hideMark/>
          </w:tcPr>
          <w:p w14:paraId="3AD21C67" w14:textId="77777777" w:rsidR="00AC5973" w:rsidRPr="00AD7EBC" w:rsidRDefault="00AC5973" w:rsidP="005D6667">
            <w:pPr>
              <w:jc w:val="center"/>
              <w:rPr>
                <w:rFonts w:eastAsia="Times New Roman"/>
                <w:bCs w:val="0"/>
                <w:color w:val="000000"/>
                <w:sz w:val="20"/>
                <w:lang w:val="en-GB" w:eastAsia="en-GB"/>
              </w:rPr>
            </w:pPr>
            <w:r w:rsidRPr="00AD7EBC">
              <w:rPr>
                <w:rFonts w:eastAsia="Times New Roman"/>
                <w:color w:val="000000"/>
                <w:sz w:val="20"/>
                <w:lang w:val="en-GB" w:eastAsia="en-GB"/>
              </w:rPr>
              <w:t>N treatment</w:t>
            </w:r>
          </w:p>
        </w:tc>
        <w:tc>
          <w:tcPr>
            <w:tcW w:w="1657" w:type="dxa"/>
            <w:vMerge w:val="restart"/>
            <w:hideMark/>
          </w:tcPr>
          <w:p w14:paraId="2998721D" w14:textId="77777777" w:rsidR="00AC5973" w:rsidRPr="00AD7EBC" w:rsidRDefault="00AC5973" w:rsidP="005D6667">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lang w:val="en-GB" w:eastAsia="en-GB"/>
              </w:rPr>
            </w:pPr>
            <w:r w:rsidRPr="00AD7EBC">
              <w:rPr>
                <w:rFonts w:eastAsia="Times New Roman"/>
                <w:color w:val="000000"/>
                <w:sz w:val="20"/>
                <w:lang w:val="en-GB" w:eastAsia="en-GB"/>
              </w:rPr>
              <w:t>N comparison</w:t>
            </w:r>
          </w:p>
        </w:tc>
        <w:tc>
          <w:tcPr>
            <w:tcW w:w="851" w:type="dxa"/>
            <w:vMerge w:val="restart"/>
            <w:hideMark/>
          </w:tcPr>
          <w:p w14:paraId="3BCAF849" w14:textId="77777777" w:rsidR="00AC5973" w:rsidRPr="00AD7EBC" w:rsidRDefault="00AC5973" w:rsidP="005D6667">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lang w:val="en-GB" w:eastAsia="en-GB"/>
              </w:rPr>
            </w:pPr>
            <w:r w:rsidRPr="00AD7EBC">
              <w:rPr>
                <w:rFonts w:eastAsia="Times New Roman"/>
                <w:color w:val="000000"/>
                <w:sz w:val="20"/>
                <w:lang w:val="en-GB" w:eastAsia="en-GB"/>
              </w:rPr>
              <w:t>Total N</w:t>
            </w:r>
          </w:p>
        </w:tc>
        <w:tc>
          <w:tcPr>
            <w:tcW w:w="1070" w:type="dxa"/>
            <w:hideMark/>
          </w:tcPr>
          <w:p w14:paraId="74A3ED5F" w14:textId="77777777" w:rsidR="00AC5973" w:rsidRPr="00AD7EBC" w:rsidRDefault="00AC5973" w:rsidP="005D6667">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lang w:val="en-GB" w:eastAsia="en-GB"/>
              </w:rPr>
            </w:pPr>
            <w:r w:rsidRPr="00AD7EBC">
              <w:rPr>
                <w:rFonts w:eastAsia="Times New Roman"/>
                <w:color w:val="000000"/>
                <w:sz w:val="20"/>
                <w:lang w:val="en-GB" w:eastAsia="en-GB"/>
              </w:rPr>
              <w:t>cluster size</w:t>
            </w:r>
          </w:p>
        </w:tc>
        <w:tc>
          <w:tcPr>
            <w:tcW w:w="1226" w:type="dxa"/>
            <w:hideMark/>
          </w:tcPr>
          <w:p w14:paraId="4FD64215" w14:textId="77777777" w:rsidR="00AC5973" w:rsidRPr="00AD7EBC" w:rsidRDefault="00AC5973" w:rsidP="005D6667">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lang w:val="en-GB" w:eastAsia="en-GB"/>
              </w:rPr>
            </w:pPr>
            <w:r w:rsidRPr="00AD7EBC">
              <w:rPr>
                <w:rFonts w:eastAsia="Times New Roman"/>
                <w:color w:val="000000"/>
                <w:sz w:val="20"/>
                <w:lang w:val="en-GB" w:eastAsia="en-GB"/>
              </w:rPr>
              <w:t>Attrition</w:t>
            </w:r>
          </w:p>
        </w:tc>
        <w:tc>
          <w:tcPr>
            <w:tcW w:w="1248" w:type="dxa"/>
            <w:vMerge w:val="restart"/>
            <w:hideMark/>
          </w:tcPr>
          <w:p w14:paraId="69B2011C" w14:textId="77777777" w:rsidR="00AC5973" w:rsidRPr="00AD7EBC" w:rsidRDefault="00AC5973" w:rsidP="005D6667">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lang w:val="en-GB" w:eastAsia="en-GB"/>
              </w:rPr>
            </w:pPr>
            <w:r w:rsidRPr="00AD7EBC">
              <w:rPr>
                <w:rFonts w:eastAsia="Times New Roman"/>
                <w:color w:val="000000"/>
                <w:sz w:val="20"/>
                <w:lang w:val="en-GB" w:eastAsia="en-GB"/>
              </w:rPr>
              <w:t>N per school at baseline</w:t>
            </w:r>
          </w:p>
        </w:tc>
        <w:tc>
          <w:tcPr>
            <w:tcW w:w="1535" w:type="dxa"/>
            <w:vMerge w:val="restart"/>
            <w:hideMark/>
          </w:tcPr>
          <w:p w14:paraId="6CE17512" w14:textId="77777777" w:rsidR="00AC5973" w:rsidRPr="00AD7EBC" w:rsidRDefault="00AC5973" w:rsidP="005D6667">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lang w:val="en-GB" w:eastAsia="en-GB"/>
              </w:rPr>
            </w:pPr>
            <w:proofErr w:type="spellStart"/>
            <w:r w:rsidRPr="00AD7EBC">
              <w:rPr>
                <w:rFonts w:eastAsia="Times New Roman"/>
                <w:color w:val="000000"/>
                <w:sz w:val="20"/>
                <w:lang w:val="en-GB" w:eastAsia="en-GB"/>
              </w:rPr>
              <w:t>intraclass</w:t>
            </w:r>
            <w:proofErr w:type="spellEnd"/>
            <w:r w:rsidRPr="00AD7EBC">
              <w:rPr>
                <w:rFonts w:eastAsia="Times New Roman"/>
                <w:color w:val="000000"/>
                <w:sz w:val="20"/>
                <w:lang w:val="en-GB" w:eastAsia="en-GB"/>
              </w:rPr>
              <w:t xml:space="preserve"> correlation</w:t>
            </w:r>
          </w:p>
        </w:tc>
        <w:tc>
          <w:tcPr>
            <w:tcW w:w="1057" w:type="dxa"/>
            <w:vMerge w:val="restart"/>
            <w:hideMark/>
          </w:tcPr>
          <w:p w14:paraId="205534F1" w14:textId="77777777" w:rsidR="00AC5973" w:rsidRPr="00AD7EBC" w:rsidRDefault="00AC5973" w:rsidP="005D6667">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lang w:val="en-GB" w:eastAsia="en-GB"/>
              </w:rPr>
            </w:pPr>
            <w:r w:rsidRPr="00AD7EBC">
              <w:rPr>
                <w:rFonts w:eastAsia="Times New Roman"/>
                <w:color w:val="000000"/>
                <w:sz w:val="20"/>
                <w:lang w:val="en-GB" w:eastAsia="en-GB"/>
              </w:rPr>
              <w:t>design effect</w:t>
            </w:r>
          </w:p>
        </w:tc>
      </w:tr>
      <w:tr w:rsidR="00AC5973" w:rsidRPr="00AD7EBC" w14:paraId="70134F0A" w14:textId="1F7F1CA1" w:rsidTr="00AC5973">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1384" w:type="dxa"/>
            <w:vMerge/>
            <w:hideMark/>
          </w:tcPr>
          <w:p w14:paraId="7F48C17C" w14:textId="77777777" w:rsidR="00AC5973" w:rsidRPr="00AD7EBC" w:rsidRDefault="00AC5973" w:rsidP="005D6667">
            <w:pPr>
              <w:rPr>
                <w:rFonts w:ascii="Calibri" w:eastAsia="Times New Roman" w:hAnsi="Calibri" w:cs="Times New Roman"/>
                <w:b w:val="0"/>
                <w:bCs w:val="0"/>
                <w:color w:val="000000"/>
                <w:lang w:val="en-GB" w:eastAsia="en-GB"/>
              </w:rPr>
            </w:pPr>
          </w:p>
        </w:tc>
        <w:tc>
          <w:tcPr>
            <w:tcW w:w="1657" w:type="dxa"/>
            <w:vMerge/>
            <w:hideMark/>
          </w:tcPr>
          <w:p w14:paraId="2533C043" w14:textId="77777777" w:rsidR="00AC5973" w:rsidRPr="00AD7EBC" w:rsidRDefault="00AC5973" w:rsidP="005D66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val="en-GB" w:eastAsia="en-GB"/>
              </w:rPr>
            </w:pPr>
          </w:p>
        </w:tc>
        <w:tc>
          <w:tcPr>
            <w:tcW w:w="851" w:type="dxa"/>
            <w:vMerge/>
            <w:hideMark/>
          </w:tcPr>
          <w:p w14:paraId="0139DA6C" w14:textId="77777777" w:rsidR="00AC5973" w:rsidRPr="00AD7EBC" w:rsidRDefault="00AC5973" w:rsidP="005D66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val="en-GB" w:eastAsia="en-GB"/>
              </w:rPr>
            </w:pPr>
          </w:p>
        </w:tc>
        <w:tc>
          <w:tcPr>
            <w:tcW w:w="1070" w:type="dxa"/>
            <w:shd w:val="clear" w:color="auto" w:fill="auto"/>
            <w:hideMark/>
          </w:tcPr>
          <w:p w14:paraId="237D208D" w14:textId="77777777" w:rsidR="00AC5973" w:rsidRPr="00AD7EBC" w:rsidRDefault="00AC5973" w:rsidP="005D66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0"/>
                <w:lang w:val="en-GB" w:eastAsia="en-GB"/>
              </w:rPr>
            </w:pPr>
            <w:r w:rsidRPr="00AD7EBC">
              <w:rPr>
                <w:rFonts w:ascii="Calibri" w:eastAsia="Times New Roman" w:hAnsi="Calibri" w:cs="Times New Roman"/>
                <w:bCs/>
                <w:color w:val="000000"/>
                <w:sz w:val="20"/>
                <w:lang w:val="en-GB" w:eastAsia="en-GB"/>
              </w:rPr>
              <w:t>(N per school - at end point)</w:t>
            </w:r>
          </w:p>
        </w:tc>
        <w:tc>
          <w:tcPr>
            <w:tcW w:w="1226" w:type="dxa"/>
            <w:shd w:val="clear" w:color="auto" w:fill="auto"/>
            <w:hideMark/>
          </w:tcPr>
          <w:p w14:paraId="1256875C" w14:textId="77777777" w:rsidR="00AC5973" w:rsidRPr="00AD7EBC" w:rsidRDefault="00AC5973" w:rsidP="005D66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sz w:val="20"/>
                <w:lang w:val="en-GB" w:eastAsia="en-GB"/>
              </w:rPr>
            </w:pPr>
            <w:r w:rsidRPr="00AD7EBC">
              <w:rPr>
                <w:rFonts w:ascii="Calibri" w:eastAsia="Times New Roman" w:hAnsi="Calibri" w:cs="Times New Roman"/>
                <w:bCs/>
                <w:color w:val="000000"/>
                <w:sz w:val="20"/>
                <w:lang w:val="en-GB" w:eastAsia="en-GB"/>
              </w:rPr>
              <w:t>(assumed to be 30%)</w:t>
            </w:r>
          </w:p>
        </w:tc>
        <w:tc>
          <w:tcPr>
            <w:tcW w:w="1248" w:type="dxa"/>
            <w:vMerge/>
            <w:hideMark/>
          </w:tcPr>
          <w:p w14:paraId="1C939400" w14:textId="77777777" w:rsidR="00AC5973" w:rsidRPr="00AD7EBC" w:rsidRDefault="00AC5973" w:rsidP="005D66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val="en-GB" w:eastAsia="en-GB"/>
              </w:rPr>
            </w:pPr>
          </w:p>
        </w:tc>
        <w:tc>
          <w:tcPr>
            <w:tcW w:w="1535" w:type="dxa"/>
            <w:vMerge/>
            <w:hideMark/>
          </w:tcPr>
          <w:p w14:paraId="64A18F57" w14:textId="77777777" w:rsidR="00AC5973" w:rsidRPr="00AD7EBC" w:rsidRDefault="00AC5973" w:rsidP="005D66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val="en-GB" w:eastAsia="en-GB"/>
              </w:rPr>
            </w:pPr>
          </w:p>
        </w:tc>
        <w:tc>
          <w:tcPr>
            <w:tcW w:w="1057" w:type="dxa"/>
            <w:vMerge/>
            <w:hideMark/>
          </w:tcPr>
          <w:p w14:paraId="2504DBCE" w14:textId="77777777" w:rsidR="00AC5973" w:rsidRPr="00AD7EBC" w:rsidRDefault="00AC5973" w:rsidP="005D66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val="en-GB" w:eastAsia="en-GB"/>
              </w:rPr>
            </w:pPr>
          </w:p>
        </w:tc>
      </w:tr>
      <w:tr w:rsidR="00AC5973" w:rsidRPr="00AD7EBC" w14:paraId="7B50A001" w14:textId="471D336D" w:rsidTr="00AC5973">
        <w:trPr>
          <w:trHeight w:val="573"/>
        </w:trPr>
        <w:tc>
          <w:tcPr>
            <w:cnfStyle w:val="001000000000" w:firstRow="0" w:lastRow="0" w:firstColumn="1" w:lastColumn="0" w:oddVBand="0" w:evenVBand="0" w:oddHBand="0" w:evenHBand="0" w:firstRowFirstColumn="0" w:firstRowLastColumn="0" w:lastRowFirstColumn="0" w:lastRowLastColumn="0"/>
            <w:tcW w:w="1384" w:type="dxa"/>
            <w:hideMark/>
          </w:tcPr>
          <w:p w14:paraId="1A9649B1" w14:textId="77777777" w:rsidR="00AC5973" w:rsidRPr="00AD7EBC" w:rsidRDefault="00AC5973" w:rsidP="00AC5973">
            <w:pPr>
              <w:jc w:val="center"/>
              <w:rPr>
                <w:rFonts w:ascii="Calibri" w:eastAsia="Times New Roman" w:hAnsi="Calibri" w:cs="Times New Roman"/>
                <w:b w:val="0"/>
                <w:color w:val="000000"/>
                <w:lang w:val="en-GB" w:eastAsia="en-GB"/>
              </w:rPr>
            </w:pPr>
            <w:r w:rsidRPr="00AD7EBC">
              <w:rPr>
                <w:rFonts w:ascii="Calibri" w:eastAsia="Times New Roman" w:hAnsi="Calibri" w:cs="Times New Roman"/>
                <w:b w:val="0"/>
                <w:color w:val="000000"/>
                <w:lang w:val="en-GB" w:eastAsia="en-GB"/>
              </w:rPr>
              <w:t>408</w:t>
            </w:r>
          </w:p>
        </w:tc>
        <w:tc>
          <w:tcPr>
            <w:tcW w:w="1657" w:type="dxa"/>
            <w:hideMark/>
          </w:tcPr>
          <w:p w14:paraId="1295BF3B" w14:textId="77777777" w:rsidR="00AC5973" w:rsidRPr="00AD7EBC" w:rsidRDefault="00AC5973" w:rsidP="00AC59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AD7EBC">
              <w:rPr>
                <w:rFonts w:ascii="Calibri" w:eastAsia="Times New Roman" w:hAnsi="Calibri" w:cs="Times New Roman"/>
                <w:color w:val="000000"/>
                <w:lang w:val="en-GB" w:eastAsia="en-GB"/>
              </w:rPr>
              <w:t>408</w:t>
            </w:r>
          </w:p>
        </w:tc>
        <w:tc>
          <w:tcPr>
            <w:tcW w:w="851" w:type="dxa"/>
            <w:hideMark/>
          </w:tcPr>
          <w:p w14:paraId="4A5FBD77" w14:textId="77777777" w:rsidR="00AC5973" w:rsidRPr="00AD7EBC" w:rsidRDefault="00AC5973" w:rsidP="00AC59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AD7EBC">
              <w:rPr>
                <w:rFonts w:ascii="Calibri" w:eastAsia="Times New Roman" w:hAnsi="Calibri" w:cs="Times New Roman"/>
                <w:color w:val="000000"/>
                <w:lang w:val="en-GB" w:eastAsia="en-GB"/>
              </w:rPr>
              <w:t>816</w:t>
            </w:r>
          </w:p>
        </w:tc>
        <w:tc>
          <w:tcPr>
            <w:tcW w:w="1070" w:type="dxa"/>
            <w:hideMark/>
          </w:tcPr>
          <w:p w14:paraId="55F44EB4" w14:textId="77777777" w:rsidR="00AC5973" w:rsidRPr="00AD7EBC" w:rsidRDefault="00AC5973" w:rsidP="00AC59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AD7EBC">
              <w:rPr>
                <w:rFonts w:ascii="Calibri" w:eastAsia="Times New Roman" w:hAnsi="Calibri" w:cs="Times New Roman"/>
                <w:color w:val="000000"/>
                <w:lang w:val="en-GB" w:eastAsia="en-GB"/>
              </w:rPr>
              <w:t>15</w:t>
            </w:r>
          </w:p>
        </w:tc>
        <w:tc>
          <w:tcPr>
            <w:tcW w:w="1226" w:type="dxa"/>
            <w:hideMark/>
          </w:tcPr>
          <w:p w14:paraId="187C2C61" w14:textId="77777777" w:rsidR="00AC5973" w:rsidRPr="00AD7EBC" w:rsidRDefault="00AC5973" w:rsidP="00AC59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AD7EBC">
              <w:rPr>
                <w:rFonts w:ascii="Calibri" w:eastAsia="Times New Roman" w:hAnsi="Calibri" w:cs="Times New Roman"/>
                <w:color w:val="000000"/>
                <w:lang w:val="en-GB" w:eastAsia="en-GB"/>
              </w:rPr>
              <w:t>0.3</w:t>
            </w:r>
          </w:p>
        </w:tc>
        <w:tc>
          <w:tcPr>
            <w:tcW w:w="1248" w:type="dxa"/>
            <w:noWrap/>
            <w:hideMark/>
          </w:tcPr>
          <w:p w14:paraId="6EBF48AC" w14:textId="77777777" w:rsidR="00AC5973" w:rsidRPr="00AD7EBC" w:rsidRDefault="00AC5973" w:rsidP="00AC59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AD7EBC">
              <w:rPr>
                <w:rFonts w:ascii="Calibri" w:eastAsia="Times New Roman" w:hAnsi="Calibri" w:cs="Times New Roman"/>
                <w:color w:val="000000"/>
                <w:lang w:val="en-GB" w:eastAsia="en-GB"/>
              </w:rPr>
              <w:t>22</w:t>
            </w:r>
          </w:p>
        </w:tc>
        <w:tc>
          <w:tcPr>
            <w:tcW w:w="1535" w:type="dxa"/>
            <w:hideMark/>
          </w:tcPr>
          <w:p w14:paraId="3B53DA9B" w14:textId="77777777" w:rsidR="00AC5973" w:rsidRPr="00AD7EBC" w:rsidRDefault="00AC5973" w:rsidP="00AC59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AD7EBC">
              <w:rPr>
                <w:rFonts w:ascii="Calibri" w:eastAsia="Times New Roman" w:hAnsi="Calibri" w:cs="Times New Roman"/>
                <w:color w:val="000000"/>
                <w:lang w:val="en-GB" w:eastAsia="en-GB"/>
              </w:rPr>
              <w:t>0.1</w:t>
            </w:r>
          </w:p>
        </w:tc>
        <w:tc>
          <w:tcPr>
            <w:tcW w:w="1057" w:type="dxa"/>
            <w:noWrap/>
            <w:hideMark/>
          </w:tcPr>
          <w:p w14:paraId="1AF64A59" w14:textId="77777777" w:rsidR="00AC5973" w:rsidRPr="00AD7EBC" w:rsidRDefault="00AC5973" w:rsidP="00AC59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AD7EBC">
              <w:rPr>
                <w:rFonts w:ascii="Calibri" w:eastAsia="Times New Roman" w:hAnsi="Calibri" w:cs="Times New Roman"/>
                <w:color w:val="000000"/>
                <w:lang w:val="en-GB" w:eastAsia="en-GB"/>
              </w:rPr>
              <w:t>3.1</w:t>
            </w:r>
          </w:p>
        </w:tc>
      </w:tr>
    </w:tbl>
    <w:p w14:paraId="6D060791" w14:textId="670E4773" w:rsidR="00AC5973" w:rsidRPr="00AD7EBC" w:rsidRDefault="00AC5973" w:rsidP="007C7D0F">
      <w:pPr>
        <w:pStyle w:val="BodyText"/>
        <w:spacing w:before="1"/>
        <w:rPr>
          <w:sz w:val="28"/>
          <w:lang w:val="en-GB"/>
        </w:rPr>
      </w:pPr>
    </w:p>
    <w:tbl>
      <w:tblPr>
        <w:tblStyle w:val="PlainTable11"/>
        <w:tblW w:w="7550" w:type="dxa"/>
        <w:tblLook w:val="04A0" w:firstRow="1" w:lastRow="0" w:firstColumn="1" w:lastColumn="0" w:noHBand="0" w:noVBand="1"/>
      </w:tblPr>
      <w:tblGrid>
        <w:gridCol w:w="2684"/>
        <w:gridCol w:w="3214"/>
        <w:gridCol w:w="1652"/>
      </w:tblGrid>
      <w:tr w:rsidR="00AC5973" w:rsidRPr="00AD7EBC" w14:paraId="06260981" w14:textId="77777777" w:rsidTr="00AC5973">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684" w:type="dxa"/>
            <w:vMerge w:val="restart"/>
            <w:hideMark/>
          </w:tcPr>
          <w:p w14:paraId="0CDD4120" w14:textId="77777777" w:rsidR="00AC5973" w:rsidRPr="00AD7EBC" w:rsidRDefault="00AC5973" w:rsidP="005D6667">
            <w:pPr>
              <w:jc w:val="center"/>
              <w:rPr>
                <w:rFonts w:eastAsia="Times New Roman"/>
                <w:bCs w:val="0"/>
                <w:color w:val="000000"/>
                <w:sz w:val="20"/>
                <w:lang w:val="en-GB" w:eastAsia="en-GB"/>
              </w:rPr>
            </w:pPr>
            <w:r w:rsidRPr="00AD7EBC">
              <w:rPr>
                <w:rFonts w:eastAsia="Times New Roman"/>
                <w:color w:val="000000"/>
                <w:sz w:val="20"/>
                <w:lang w:val="en-GB" w:eastAsia="en-GB"/>
              </w:rPr>
              <w:t>N treatment</w:t>
            </w:r>
          </w:p>
        </w:tc>
        <w:tc>
          <w:tcPr>
            <w:tcW w:w="3214" w:type="dxa"/>
            <w:vMerge w:val="restart"/>
            <w:hideMark/>
          </w:tcPr>
          <w:p w14:paraId="1F18125D" w14:textId="77777777" w:rsidR="00AC5973" w:rsidRPr="00AD7EBC" w:rsidRDefault="00AC5973" w:rsidP="005D6667">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lang w:val="en-GB" w:eastAsia="en-GB"/>
              </w:rPr>
            </w:pPr>
            <w:r w:rsidRPr="00AD7EBC">
              <w:rPr>
                <w:rFonts w:eastAsia="Times New Roman"/>
                <w:color w:val="000000"/>
                <w:sz w:val="20"/>
                <w:lang w:val="en-GB" w:eastAsia="en-GB"/>
              </w:rPr>
              <w:t>N comparison</w:t>
            </w:r>
          </w:p>
        </w:tc>
        <w:tc>
          <w:tcPr>
            <w:tcW w:w="1652" w:type="dxa"/>
            <w:vMerge w:val="restart"/>
            <w:hideMark/>
          </w:tcPr>
          <w:p w14:paraId="798533ED" w14:textId="77777777" w:rsidR="00AC5973" w:rsidRPr="00AD7EBC" w:rsidRDefault="00AC5973" w:rsidP="005D6667">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lang w:val="en-GB" w:eastAsia="en-GB"/>
              </w:rPr>
            </w:pPr>
            <w:r w:rsidRPr="00AD7EBC">
              <w:rPr>
                <w:rFonts w:eastAsia="Times New Roman"/>
                <w:color w:val="000000"/>
                <w:sz w:val="20"/>
                <w:lang w:val="en-GB" w:eastAsia="en-GB"/>
              </w:rPr>
              <w:t>Total N</w:t>
            </w:r>
          </w:p>
        </w:tc>
      </w:tr>
      <w:tr w:rsidR="00AC5973" w:rsidRPr="00AD7EBC" w14:paraId="204D62A7" w14:textId="77777777" w:rsidTr="00AC597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84" w:type="dxa"/>
            <w:vMerge/>
            <w:hideMark/>
          </w:tcPr>
          <w:p w14:paraId="7C475DD2" w14:textId="77777777" w:rsidR="00AC5973" w:rsidRPr="00AD7EBC" w:rsidRDefault="00AC5973" w:rsidP="005D6667">
            <w:pPr>
              <w:rPr>
                <w:rFonts w:ascii="Calibri" w:eastAsia="Times New Roman" w:hAnsi="Calibri" w:cs="Times New Roman"/>
                <w:b w:val="0"/>
                <w:bCs w:val="0"/>
                <w:color w:val="000000"/>
                <w:lang w:val="en-GB" w:eastAsia="en-GB"/>
              </w:rPr>
            </w:pPr>
          </w:p>
        </w:tc>
        <w:tc>
          <w:tcPr>
            <w:tcW w:w="3214" w:type="dxa"/>
            <w:vMerge/>
            <w:hideMark/>
          </w:tcPr>
          <w:p w14:paraId="58E737D3" w14:textId="77777777" w:rsidR="00AC5973" w:rsidRPr="00AD7EBC" w:rsidRDefault="00AC5973" w:rsidP="005D66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val="en-GB" w:eastAsia="en-GB"/>
              </w:rPr>
            </w:pPr>
          </w:p>
        </w:tc>
        <w:tc>
          <w:tcPr>
            <w:tcW w:w="1652" w:type="dxa"/>
            <w:vMerge/>
            <w:hideMark/>
          </w:tcPr>
          <w:p w14:paraId="39558147" w14:textId="77777777" w:rsidR="00AC5973" w:rsidRPr="00AD7EBC" w:rsidRDefault="00AC5973" w:rsidP="005D66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val="en-GB" w:eastAsia="en-GB"/>
              </w:rPr>
            </w:pPr>
          </w:p>
        </w:tc>
      </w:tr>
      <w:tr w:rsidR="00AC5973" w:rsidRPr="00AD7EBC" w14:paraId="396C7F70" w14:textId="77777777" w:rsidTr="00AC5973">
        <w:trPr>
          <w:trHeight w:val="217"/>
        </w:trPr>
        <w:tc>
          <w:tcPr>
            <w:cnfStyle w:val="001000000000" w:firstRow="0" w:lastRow="0" w:firstColumn="1" w:lastColumn="0" w:oddVBand="0" w:evenVBand="0" w:oddHBand="0" w:evenHBand="0" w:firstRowFirstColumn="0" w:firstRowLastColumn="0" w:lastRowFirstColumn="0" w:lastRowLastColumn="0"/>
            <w:tcW w:w="2684" w:type="dxa"/>
            <w:noWrap/>
            <w:hideMark/>
          </w:tcPr>
          <w:p w14:paraId="53CE5CAF" w14:textId="77777777" w:rsidR="00AC5973" w:rsidRPr="00AD7EBC" w:rsidRDefault="00AC5973" w:rsidP="005D6667">
            <w:pPr>
              <w:jc w:val="center"/>
              <w:rPr>
                <w:rFonts w:ascii="Calibri" w:eastAsia="Times New Roman" w:hAnsi="Calibri" w:cs="Times New Roman"/>
                <w:b w:val="0"/>
                <w:color w:val="000000"/>
                <w:lang w:val="en-GB" w:eastAsia="en-GB"/>
              </w:rPr>
            </w:pPr>
            <w:r w:rsidRPr="00AD7EBC">
              <w:rPr>
                <w:rFonts w:ascii="Calibri" w:eastAsia="Times New Roman" w:hAnsi="Calibri" w:cs="Times New Roman"/>
                <w:b w:val="0"/>
                <w:color w:val="000000"/>
                <w:lang w:val="en-GB" w:eastAsia="en-GB"/>
              </w:rPr>
              <w:t>1265</w:t>
            </w:r>
          </w:p>
        </w:tc>
        <w:tc>
          <w:tcPr>
            <w:tcW w:w="3214" w:type="dxa"/>
            <w:noWrap/>
            <w:hideMark/>
          </w:tcPr>
          <w:p w14:paraId="2EC6925F" w14:textId="77777777" w:rsidR="00AC5973" w:rsidRPr="00AD7EBC" w:rsidRDefault="00AC5973" w:rsidP="005D66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AD7EBC">
              <w:rPr>
                <w:rFonts w:ascii="Calibri" w:eastAsia="Times New Roman" w:hAnsi="Calibri" w:cs="Times New Roman"/>
                <w:color w:val="000000"/>
                <w:lang w:val="en-GB" w:eastAsia="en-GB"/>
              </w:rPr>
              <w:t>1265</w:t>
            </w:r>
          </w:p>
        </w:tc>
        <w:tc>
          <w:tcPr>
            <w:tcW w:w="1652" w:type="dxa"/>
            <w:noWrap/>
            <w:hideMark/>
          </w:tcPr>
          <w:p w14:paraId="12EA1677" w14:textId="77777777" w:rsidR="00AC5973" w:rsidRPr="00AD7EBC" w:rsidRDefault="00AC5973" w:rsidP="005D66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val="en-GB" w:eastAsia="en-GB"/>
              </w:rPr>
            </w:pPr>
            <w:r w:rsidRPr="00AD7EBC">
              <w:rPr>
                <w:rFonts w:ascii="Calibri" w:eastAsia="Times New Roman" w:hAnsi="Calibri" w:cs="Times New Roman"/>
                <w:b/>
                <w:color w:val="000000"/>
                <w:lang w:val="en-GB" w:eastAsia="en-GB"/>
              </w:rPr>
              <w:t>2530</w:t>
            </w:r>
          </w:p>
        </w:tc>
      </w:tr>
    </w:tbl>
    <w:p w14:paraId="29D7F214" w14:textId="48387FA9" w:rsidR="00AC5973" w:rsidRPr="00AD7EBC" w:rsidRDefault="00AC5973" w:rsidP="007C7D0F">
      <w:pPr>
        <w:pStyle w:val="BodyText"/>
        <w:spacing w:before="1"/>
        <w:rPr>
          <w:sz w:val="28"/>
          <w:lang w:val="en-GB"/>
        </w:rPr>
      </w:pPr>
    </w:p>
    <w:p w14:paraId="3A86497E" w14:textId="77777777" w:rsidR="00AC5973" w:rsidRPr="00AD7EBC" w:rsidRDefault="00AC5973" w:rsidP="007C7D0F">
      <w:pPr>
        <w:pStyle w:val="BodyText"/>
        <w:spacing w:before="1"/>
        <w:rPr>
          <w:sz w:val="28"/>
          <w:lang w:val="en-GB"/>
        </w:rPr>
      </w:pPr>
    </w:p>
    <w:tbl>
      <w:tblPr>
        <w:tblStyle w:val="PlainTable11"/>
        <w:tblW w:w="9334" w:type="dxa"/>
        <w:tblLook w:val="04A0" w:firstRow="1" w:lastRow="0" w:firstColumn="1" w:lastColumn="0" w:noHBand="0" w:noVBand="1"/>
      </w:tblPr>
      <w:tblGrid>
        <w:gridCol w:w="2500"/>
        <w:gridCol w:w="3243"/>
        <w:gridCol w:w="3591"/>
      </w:tblGrid>
      <w:tr w:rsidR="00AC5973" w:rsidRPr="00AD7EBC" w14:paraId="1AC3BAC8" w14:textId="77777777" w:rsidTr="00AC5973">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500" w:type="dxa"/>
            <w:vMerge w:val="restart"/>
            <w:hideMark/>
          </w:tcPr>
          <w:p w14:paraId="4BAFF5A1" w14:textId="77777777" w:rsidR="00AC5973" w:rsidRPr="00AD7EBC" w:rsidRDefault="00AC5973" w:rsidP="005D6667">
            <w:pPr>
              <w:jc w:val="center"/>
              <w:rPr>
                <w:rFonts w:ascii="Calibri" w:eastAsia="Times New Roman" w:hAnsi="Calibri" w:cs="Times New Roman"/>
                <w:b w:val="0"/>
                <w:bCs w:val="0"/>
                <w:color w:val="000000"/>
                <w:lang w:val="en-GB" w:eastAsia="en-GB"/>
              </w:rPr>
            </w:pPr>
            <w:r w:rsidRPr="00AD7EBC">
              <w:rPr>
                <w:rFonts w:ascii="Calibri" w:eastAsia="Times New Roman" w:hAnsi="Calibri" w:cs="Times New Roman"/>
                <w:color w:val="000000"/>
                <w:lang w:val="en-GB" w:eastAsia="en-GB"/>
              </w:rPr>
              <w:lastRenderedPageBreak/>
              <w:t>No. schools to be sampled (total)</w:t>
            </w:r>
          </w:p>
        </w:tc>
        <w:tc>
          <w:tcPr>
            <w:tcW w:w="3243" w:type="dxa"/>
            <w:vMerge w:val="restart"/>
            <w:hideMark/>
          </w:tcPr>
          <w:p w14:paraId="386EF94E" w14:textId="77777777" w:rsidR="00AC5973" w:rsidRPr="00AD7EBC" w:rsidRDefault="00AC5973" w:rsidP="005D66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lang w:val="en-GB" w:eastAsia="en-GB"/>
              </w:rPr>
            </w:pPr>
            <w:r w:rsidRPr="00AD7EBC">
              <w:rPr>
                <w:rFonts w:ascii="Calibri" w:eastAsia="Times New Roman" w:hAnsi="Calibri" w:cs="Times New Roman"/>
                <w:color w:val="000000"/>
                <w:lang w:val="en-GB" w:eastAsia="en-GB"/>
              </w:rPr>
              <w:t>No. schools to be sampled (treatment)</w:t>
            </w:r>
          </w:p>
        </w:tc>
        <w:tc>
          <w:tcPr>
            <w:tcW w:w="3591" w:type="dxa"/>
            <w:vMerge w:val="restart"/>
            <w:hideMark/>
          </w:tcPr>
          <w:p w14:paraId="145EFAAF" w14:textId="77777777" w:rsidR="00AC5973" w:rsidRPr="00AD7EBC" w:rsidRDefault="00AC5973" w:rsidP="005D66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lang w:val="en-GB" w:eastAsia="en-GB"/>
              </w:rPr>
            </w:pPr>
            <w:r w:rsidRPr="00AD7EBC">
              <w:rPr>
                <w:rFonts w:ascii="Calibri" w:eastAsia="Times New Roman" w:hAnsi="Calibri" w:cs="Times New Roman"/>
                <w:color w:val="000000"/>
                <w:lang w:val="en-GB" w:eastAsia="en-GB"/>
              </w:rPr>
              <w:t>No. schools to be sampled (comparison)</w:t>
            </w:r>
          </w:p>
        </w:tc>
      </w:tr>
      <w:tr w:rsidR="00AC5973" w:rsidRPr="00AD7EBC" w14:paraId="62518F47" w14:textId="77777777" w:rsidTr="00AC597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00" w:type="dxa"/>
            <w:vMerge/>
            <w:hideMark/>
          </w:tcPr>
          <w:p w14:paraId="61E14EC4" w14:textId="77777777" w:rsidR="00AC5973" w:rsidRPr="00AD7EBC" w:rsidRDefault="00AC5973" w:rsidP="005D6667">
            <w:pPr>
              <w:rPr>
                <w:rFonts w:ascii="Calibri" w:eastAsia="Times New Roman" w:hAnsi="Calibri" w:cs="Times New Roman"/>
                <w:b w:val="0"/>
                <w:bCs w:val="0"/>
                <w:color w:val="000000"/>
                <w:lang w:val="en-GB" w:eastAsia="en-GB"/>
              </w:rPr>
            </w:pPr>
          </w:p>
        </w:tc>
        <w:tc>
          <w:tcPr>
            <w:tcW w:w="3243" w:type="dxa"/>
            <w:vMerge/>
            <w:hideMark/>
          </w:tcPr>
          <w:p w14:paraId="1B979351" w14:textId="77777777" w:rsidR="00AC5973" w:rsidRPr="00AD7EBC" w:rsidRDefault="00AC5973" w:rsidP="005D66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val="en-GB" w:eastAsia="en-GB"/>
              </w:rPr>
            </w:pPr>
          </w:p>
        </w:tc>
        <w:tc>
          <w:tcPr>
            <w:tcW w:w="3591" w:type="dxa"/>
            <w:vMerge/>
            <w:hideMark/>
          </w:tcPr>
          <w:p w14:paraId="20FB434C" w14:textId="77777777" w:rsidR="00AC5973" w:rsidRPr="00AD7EBC" w:rsidRDefault="00AC5973" w:rsidP="005D66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val="en-GB" w:eastAsia="en-GB"/>
              </w:rPr>
            </w:pPr>
          </w:p>
        </w:tc>
      </w:tr>
      <w:tr w:rsidR="00AC5973" w:rsidRPr="00AD7EBC" w14:paraId="7E2EB91F" w14:textId="77777777" w:rsidTr="00AC5973">
        <w:trPr>
          <w:trHeight w:val="189"/>
        </w:trPr>
        <w:tc>
          <w:tcPr>
            <w:cnfStyle w:val="001000000000" w:firstRow="0" w:lastRow="0" w:firstColumn="1" w:lastColumn="0" w:oddVBand="0" w:evenVBand="0" w:oddHBand="0" w:evenHBand="0" w:firstRowFirstColumn="0" w:firstRowLastColumn="0" w:lastRowFirstColumn="0" w:lastRowLastColumn="0"/>
            <w:tcW w:w="2500" w:type="dxa"/>
            <w:noWrap/>
            <w:hideMark/>
          </w:tcPr>
          <w:p w14:paraId="6DF27A5F" w14:textId="77777777" w:rsidR="00AC5973" w:rsidRPr="00AD7EBC" w:rsidRDefault="00AC5973" w:rsidP="00AC5973">
            <w:pPr>
              <w:jc w:val="center"/>
              <w:rPr>
                <w:rFonts w:ascii="Calibri" w:eastAsia="Times New Roman" w:hAnsi="Calibri" w:cs="Times New Roman"/>
                <w:color w:val="000000"/>
                <w:lang w:val="en-GB" w:eastAsia="en-GB"/>
              </w:rPr>
            </w:pPr>
            <w:r w:rsidRPr="00AD7EBC">
              <w:rPr>
                <w:rFonts w:ascii="Calibri" w:eastAsia="Times New Roman" w:hAnsi="Calibri" w:cs="Times New Roman"/>
                <w:color w:val="000000"/>
                <w:lang w:val="en-GB" w:eastAsia="en-GB"/>
              </w:rPr>
              <w:t>115</w:t>
            </w:r>
          </w:p>
        </w:tc>
        <w:tc>
          <w:tcPr>
            <w:tcW w:w="3243" w:type="dxa"/>
            <w:noWrap/>
            <w:hideMark/>
          </w:tcPr>
          <w:p w14:paraId="0A4D77B7" w14:textId="77777777" w:rsidR="00AC5973" w:rsidRPr="00AD7EBC" w:rsidRDefault="00AC5973" w:rsidP="00AC59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AD7EBC">
              <w:rPr>
                <w:rFonts w:ascii="Calibri" w:eastAsia="Times New Roman" w:hAnsi="Calibri" w:cs="Times New Roman"/>
                <w:color w:val="000000"/>
                <w:lang w:val="en-GB" w:eastAsia="en-GB"/>
              </w:rPr>
              <w:t>58</w:t>
            </w:r>
          </w:p>
        </w:tc>
        <w:tc>
          <w:tcPr>
            <w:tcW w:w="3591" w:type="dxa"/>
            <w:noWrap/>
            <w:hideMark/>
          </w:tcPr>
          <w:p w14:paraId="58F65BDB" w14:textId="77777777" w:rsidR="00AC5973" w:rsidRPr="00AD7EBC" w:rsidRDefault="00AC5973" w:rsidP="00AC597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GB" w:eastAsia="en-GB"/>
              </w:rPr>
            </w:pPr>
            <w:r w:rsidRPr="00AD7EBC">
              <w:rPr>
                <w:rFonts w:ascii="Calibri" w:eastAsia="Times New Roman" w:hAnsi="Calibri" w:cs="Times New Roman"/>
                <w:color w:val="000000"/>
                <w:lang w:val="en-GB" w:eastAsia="en-GB"/>
              </w:rPr>
              <w:t>58</w:t>
            </w:r>
          </w:p>
        </w:tc>
      </w:tr>
    </w:tbl>
    <w:p w14:paraId="66075D55" w14:textId="6A9F6B4D" w:rsidR="00AC5973" w:rsidRPr="00AD7EBC" w:rsidRDefault="00AC5973" w:rsidP="007C7D0F">
      <w:pPr>
        <w:pStyle w:val="BodyText"/>
        <w:spacing w:before="1"/>
        <w:rPr>
          <w:sz w:val="28"/>
          <w:lang w:val="en-GB"/>
        </w:rPr>
      </w:pPr>
    </w:p>
    <w:p w14:paraId="029EB00B" w14:textId="7BBB5B58" w:rsidR="00810F8E" w:rsidRPr="00AD7EBC" w:rsidRDefault="00810F8E" w:rsidP="00C21EEA">
      <w:pPr>
        <w:pStyle w:val="ListParagraph"/>
        <w:numPr>
          <w:ilvl w:val="1"/>
          <w:numId w:val="9"/>
        </w:numPr>
        <w:tabs>
          <w:tab w:val="left" w:pos="473"/>
        </w:tabs>
        <w:ind w:left="372"/>
        <w:jc w:val="both"/>
        <w:rPr>
          <w:b/>
          <w:lang w:val="en-GB"/>
        </w:rPr>
      </w:pPr>
      <w:r w:rsidRPr="00AD7EBC">
        <w:rPr>
          <w:color w:val="1F487C"/>
          <w:lang w:val="en-GB"/>
        </w:rPr>
        <w:t xml:space="preserve">Benchmarking </w:t>
      </w:r>
    </w:p>
    <w:p w14:paraId="2F5F8D69" w14:textId="77777777" w:rsidR="005F5B2D" w:rsidRPr="00AD7EBC" w:rsidRDefault="005F5B2D" w:rsidP="005F5B2D">
      <w:pPr>
        <w:tabs>
          <w:tab w:val="left" w:pos="880"/>
          <w:tab w:val="left" w:pos="881"/>
        </w:tabs>
        <w:spacing w:before="38" w:line="271" w:lineRule="auto"/>
        <w:ind w:right="1084"/>
        <w:rPr>
          <w:lang w:val="en-GB"/>
        </w:rPr>
      </w:pPr>
    </w:p>
    <w:p w14:paraId="7FC0BFEB" w14:textId="0A31048C" w:rsidR="005F5B2D" w:rsidRPr="00AD7EBC" w:rsidRDefault="005F5B2D" w:rsidP="005F5B2D">
      <w:pPr>
        <w:pStyle w:val="BodyText"/>
        <w:spacing w:before="8"/>
        <w:jc w:val="both"/>
        <w:rPr>
          <w:lang w:val="en-GB"/>
        </w:rPr>
      </w:pPr>
      <w:r w:rsidRPr="00AD7EBC">
        <w:rPr>
          <w:lang w:val="en-GB"/>
        </w:rPr>
        <w:t>Benchmark data will be collected in treatment schools</w:t>
      </w:r>
      <w:r w:rsidR="002E0F3F" w:rsidRPr="00AD7EBC">
        <w:rPr>
          <w:lang w:val="en-GB"/>
        </w:rPr>
        <w:t xml:space="preserve"> and AEP </w:t>
      </w:r>
      <w:r w:rsidR="00910C5C">
        <w:rPr>
          <w:lang w:val="en-GB"/>
        </w:rPr>
        <w:t>centre</w:t>
      </w:r>
      <w:r w:rsidR="002E0F3F" w:rsidRPr="00AD7EBC">
        <w:rPr>
          <w:lang w:val="en-GB"/>
        </w:rPr>
        <w:t>s</w:t>
      </w:r>
      <w:r w:rsidRPr="00AD7EBC">
        <w:rPr>
          <w:lang w:val="en-GB"/>
        </w:rPr>
        <w:t xml:space="preserve"> for learning scores and transition rates from older grades that </w:t>
      </w:r>
      <w:proofErr w:type="gramStart"/>
      <w:r w:rsidRPr="00AD7EBC">
        <w:rPr>
          <w:lang w:val="en-GB"/>
        </w:rPr>
        <w:t>learning</w:t>
      </w:r>
      <w:proofErr w:type="gramEnd"/>
      <w:r w:rsidRPr="00AD7EBC">
        <w:rPr>
          <w:lang w:val="en-GB"/>
        </w:rPr>
        <w:t xml:space="preserve"> and transition beneficiaries are expected to move into. Based on the standard deviations of the collected </w:t>
      </w:r>
      <w:r w:rsidR="00231FE3" w:rsidRPr="00AD7EBC">
        <w:rPr>
          <w:lang w:val="en-GB"/>
        </w:rPr>
        <w:t xml:space="preserve">results, </w:t>
      </w:r>
      <w:r w:rsidRPr="00AD7EBC">
        <w:rPr>
          <w:lang w:val="en-GB"/>
        </w:rPr>
        <w:t>target</w:t>
      </w:r>
      <w:r w:rsidR="00231FE3" w:rsidRPr="00AD7EBC">
        <w:rPr>
          <w:lang w:val="en-GB"/>
        </w:rPr>
        <w:t>s</w:t>
      </w:r>
      <w:r w:rsidRPr="00AD7EBC">
        <w:rPr>
          <w:lang w:val="en-GB"/>
        </w:rPr>
        <w:t xml:space="preserve"> will be calculated</w:t>
      </w:r>
      <w:r w:rsidR="00231FE3" w:rsidRPr="00AD7EBC">
        <w:rPr>
          <w:lang w:val="en-GB"/>
        </w:rPr>
        <w:t xml:space="preserve"> and set for the learning and transition indicators for midline and endline evaluation points</w:t>
      </w:r>
      <w:r w:rsidRPr="00AD7EBC">
        <w:rPr>
          <w:lang w:val="en-GB"/>
        </w:rPr>
        <w:t xml:space="preserve">. </w:t>
      </w:r>
    </w:p>
    <w:p w14:paraId="208FA537" w14:textId="77777777" w:rsidR="005F5B2D" w:rsidRPr="00AD7EBC" w:rsidRDefault="005F5B2D" w:rsidP="005F5B2D">
      <w:pPr>
        <w:pStyle w:val="BodyText"/>
        <w:spacing w:before="8"/>
        <w:jc w:val="both"/>
        <w:rPr>
          <w:lang w:val="en-GB"/>
        </w:rPr>
      </w:pPr>
    </w:p>
    <w:p w14:paraId="41C1F8C9" w14:textId="77777777" w:rsidR="005F5B2D" w:rsidRPr="00AD7EBC" w:rsidRDefault="005F5B2D" w:rsidP="005F5B2D">
      <w:pPr>
        <w:pStyle w:val="BodyText"/>
        <w:spacing w:before="8"/>
        <w:jc w:val="both"/>
        <w:rPr>
          <w:lang w:val="en-GB"/>
        </w:rPr>
      </w:pPr>
      <w:r w:rsidRPr="00AD7EBC">
        <w:rPr>
          <w:lang w:val="en-GB"/>
        </w:rPr>
        <w:t xml:space="preserve">From a sampling perspective, this means that the baseline learning and transition sample includes not only beneficiaries expected to be tracked over the course of the project, but also a set of ‘one-off’ sampled individuals where results from their learning tests and transition rates are taken solely for the purposes of establishing a benchmark. This benchmark sample should be identified and sampled using the same clusters as for </w:t>
      </w:r>
      <w:r w:rsidR="00231FE3" w:rsidRPr="00AD7EBC">
        <w:rPr>
          <w:lang w:val="en-GB"/>
        </w:rPr>
        <w:t xml:space="preserve">the </w:t>
      </w:r>
      <w:r w:rsidRPr="00AD7EBC">
        <w:rPr>
          <w:lang w:val="en-GB"/>
        </w:rPr>
        <w:t>individuals t</w:t>
      </w:r>
      <w:r w:rsidR="00231FE3" w:rsidRPr="00AD7EBC">
        <w:rPr>
          <w:lang w:val="en-GB"/>
        </w:rPr>
        <w:t>he project and evaluator decide</w:t>
      </w:r>
      <w:r w:rsidRPr="00AD7EBC">
        <w:rPr>
          <w:lang w:val="en-GB"/>
        </w:rPr>
        <w:t xml:space="preserve"> to track longitudinally. Suitable demographic information should be collected to check that any bias in the sampling technique has been minimized.</w:t>
      </w:r>
    </w:p>
    <w:p w14:paraId="49720DA3" w14:textId="77777777" w:rsidR="005F5B2D" w:rsidRPr="00AD7EBC" w:rsidRDefault="005F5B2D" w:rsidP="005F5B2D">
      <w:pPr>
        <w:pStyle w:val="BodyText"/>
        <w:spacing w:before="8"/>
        <w:jc w:val="both"/>
        <w:rPr>
          <w:lang w:val="en-GB"/>
        </w:rPr>
      </w:pPr>
    </w:p>
    <w:p w14:paraId="3781FF28" w14:textId="21132081" w:rsidR="005F5B2D" w:rsidRPr="00AD7EBC" w:rsidRDefault="005F5B2D" w:rsidP="005F5B2D">
      <w:pPr>
        <w:pStyle w:val="BodyText"/>
        <w:spacing w:before="8"/>
        <w:jc w:val="both"/>
        <w:rPr>
          <w:lang w:val="en-GB"/>
        </w:rPr>
      </w:pPr>
      <w:r w:rsidRPr="00AD7EBC">
        <w:rPr>
          <w:lang w:val="en-GB"/>
        </w:rPr>
        <w:t xml:space="preserve">Benchmark girls </w:t>
      </w:r>
      <w:r w:rsidR="00773674" w:rsidRPr="00AD7EBC">
        <w:rPr>
          <w:lang w:val="en-GB"/>
        </w:rPr>
        <w:t>from Grade 5</w:t>
      </w:r>
      <w:r w:rsidR="0098579C" w:rsidRPr="00AD7EBC">
        <w:rPr>
          <w:lang w:val="en-GB"/>
        </w:rPr>
        <w:t xml:space="preserve"> to Grade 9</w:t>
      </w:r>
      <w:r w:rsidR="002E0F3F" w:rsidRPr="00AD7EBC">
        <w:rPr>
          <w:lang w:val="en-GB"/>
        </w:rPr>
        <w:t xml:space="preserve"> and AEP levels 2 and 3</w:t>
      </w:r>
      <w:r w:rsidRPr="00AD7EBC">
        <w:rPr>
          <w:lang w:val="en-GB"/>
        </w:rPr>
        <w:t xml:space="preserve"> will be surveyed and tested at baseline as the project works with girls</w:t>
      </w:r>
      <w:r w:rsidR="00773674" w:rsidRPr="00AD7EBC">
        <w:rPr>
          <w:lang w:val="en-GB"/>
        </w:rPr>
        <w:t xml:space="preserve"> from Grade 4</w:t>
      </w:r>
      <w:r w:rsidR="0098579C" w:rsidRPr="00AD7EBC">
        <w:rPr>
          <w:lang w:val="en-GB"/>
        </w:rPr>
        <w:t xml:space="preserve"> to Grade 6</w:t>
      </w:r>
      <w:r w:rsidRPr="00AD7EBC">
        <w:rPr>
          <w:lang w:val="en-GB"/>
        </w:rPr>
        <w:t xml:space="preserve"> in the first year</w:t>
      </w:r>
      <w:r w:rsidR="002E0F3F" w:rsidRPr="00AD7EBC">
        <w:rPr>
          <w:lang w:val="en-GB"/>
        </w:rPr>
        <w:t xml:space="preserve"> and AEP Levels 1 and 2 </w:t>
      </w:r>
      <w:r w:rsidRPr="00AD7EBC">
        <w:rPr>
          <w:lang w:val="en-GB"/>
        </w:rPr>
        <w:t xml:space="preserve">(cf. expected progress table of cohorts in above sections on ‘learning and transition cohort’). The benchmark girls will be surveyed for their transition rate for each grade in treatment communities, </w:t>
      </w:r>
      <w:r w:rsidR="0098579C" w:rsidRPr="00AD7EBC">
        <w:rPr>
          <w:lang w:val="en-GB"/>
        </w:rPr>
        <w:t>while they will be surveyed</w:t>
      </w:r>
      <w:r w:rsidRPr="00AD7EBC">
        <w:rPr>
          <w:lang w:val="en-GB"/>
        </w:rPr>
        <w:t xml:space="preserve"> for their literacy and numeracy skills in treatment schools</w:t>
      </w:r>
      <w:r w:rsidR="002E0F3F" w:rsidRPr="00AD7EBC">
        <w:rPr>
          <w:lang w:val="en-GB"/>
        </w:rPr>
        <w:t xml:space="preserve"> and AEP </w:t>
      </w:r>
      <w:r w:rsidR="00910C5C">
        <w:rPr>
          <w:lang w:val="en-GB"/>
        </w:rPr>
        <w:t>centre</w:t>
      </w:r>
      <w:r w:rsidR="002E0F3F" w:rsidRPr="00AD7EBC">
        <w:rPr>
          <w:lang w:val="en-GB"/>
        </w:rPr>
        <w:t>s</w:t>
      </w:r>
      <w:r w:rsidRPr="00AD7EBC">
        <w:rPr>
          <w:lang w:val="en-GB"/>
        </w:rPr>
        <w:t>. The sample sizes for higher grades that must be benchmarked for subsequent eval</w:t>
      </w:r>
      <w:r w:rsidR="0098579C" w:rsidRPr="00AD7EBC">
        <w:rPr>
          <w:lang w:val="en-GB"/>
        </w:rPr>
        <w:t>uation points will be finalized</w:t>
      </w:r>
      <w:r w:rsidRPr="00AD7EBC">
        <w:rPr>
          <w:lang w:val="en-GB"/>
        </w:rPr>
        <w:t xml:space="preserve"> by the external evaluators during the </w:t>
      </w:r>
      <w:r w:rsidR="0098579C" w:rsidRPr="00AD7EBC">
        <w:rPr>
          <w:lang w:val="en-GB"/>
        </w:rPr>
        <w:t>inception</w:t>
      </w:r>
      <w:r w:rsidRPr="00AD7EBC">
        <w:rPr>
          <w:lang w:val="en-GB"/>
        </w:rPr>
        <w:t xml:space="preserve"> phase at baseline. The evaluators will identify the necessary sample size needed for treatment and comparison areas, then decide</w:t>
      </w:r>
      <w:r w:rsidR="0098579C" w:rsidRPr="00AD7EBC">
        <w:rPr>
          <w:lang w:val="en-GB"/>
        </w:rPr>
        <w:t xml:space="preserve"> and finalize</w:t>
      </w:r>
      <w:r w:rsidRPr="00AD7EBC">
        <w:rPr>
          <w:lang w:val="en-GB"/>
        </w:rPr>
        <w:t xml:space="preserve"> from this total how many individuals will be sampled from each grade. </w:t>
      </w:r>
    </w:p>
    <w:p w14:paraId="11266C50" w14:textId="77777777" w:rsidR="005F5B2D" w:rsidRPr="00AD7EBC" w:rsidRDefault="005F5B2D" w:rsidP="005F5B2D">
      <w:pPr>
        <w:widowControl/>
        <w:autoSpaceDE w:val="0"/>
        <w:autoSpaceDN w:val="0"/>
        <w:adjustRightInd w:val="0"/>
        <w:jc w:val="both"/>
        <w:rPr>
          <w:lang w:val="en-GB"/>
        </w:rPr>
      </w:pPr>
    </w:p>
    <w:p w14:paraId="0A15F72F" w14:textId="43974EFE" w:rsidR="005F5B2D" w:rsidRPr="00AD7EBC" w:rsidRDefault="005F5B2D" w:rsidP="005F5B2D">
      <w:pPr>
        <w:widowControl/>
        <w:autoSpaceDE w:val="0"/>
        <w:autoSpaceDN w:val="0"/>
        <w:adjustRightInd w:val="0"/>
        <w:jc w:val="both"/>
        <w:rPr>
          <w:rFonts w:ascii="ArialMT" w:eastAsiaTheme="minorHAnsi" w:hAnsi="ArialMT" w:cs="ArialMT"/>
          <w:lang w:val="en-GB"/>
        </w:rPr>
      </w:pPr>
      <w:r w:rsidRPr="00AD7EBC">
        <w:rPr>
          <w:rFonts w:ascii="ArialMT" w:eastAsiaTheme="minorHAnsi" w:hAnsi="ArialMT" w:cs="ArialMT"/>
          <w:lang w:val="en-GB"/>
        </w:rPr>
        <w:t>Learning benchmarks will be collected at the same time and in the same location as the general learning baseline is carried out, i.e. in the school; and the transition benchmarks</w:t>
      </w:r>
      <w:r w:rsidR="00773674" w:rsidRPr="00AD7EBC">
        <w:rPr>
          <w:rFonts w:ascii="ArialMT" w:eastAsiaTheme="minorHAnsi" w:hAnsi="ArialMT" w:cs="ArialMT"/>
          <w:lang w:val="en-GB"/>
        </w:rPr>
        <w:t xml:space="preserve"> will be collected at household</w:t>
      </w:r>
      <w:r w:rsidRPr="00AD7EBC">
        <w:rPr>
          <w:rFonts w:ascii="ArialMT" w:eastAsiaTheme="minorHAnsi" w:hAnsi="ArialMT" w:cs="ArialMT"/>
          <w:lang w:val="en-GB"/>
        </w:rPr>
        <w:t xml:space="preserve"> level when the evaluators collect information on the general levels of transition for girls in the beneficiary communities. It is not expected that the transition benchmark focuses on finding girls who would benefit from the interventions, as the aim of the transition benchmark is mainly to define the existing picture of transition for the entire beneficiary population in order to set realistic targets. The evaluators will need to think about geographical bias and not benchmark only girls from communities located v</w:t>
      </w:r>
      <w:r w:rsidR="00C21EEA">
        <w:rPr>
          <w:rFonts w:ascii="ArialMT" w:eastAsiaTheme="minorHAnsi" w:hAnsi="ArialMT" w:cs="ArialMT"/>
          <w:lang w:val="en-GB"/>
        </w:rPr>
        <w:t xml:space="preserve">ery close to secondary schools </w:t>
      </w:r>
      <w:r w:rsidRPr="00AD7EBC">
        <w:rPr>
          <w:rFonts w:ascii="ArialMT" w:eastAsiaTheme="minorHAnsi" w:hAnsi="ArialMT" w:cs="ArialMT"/>
          <w:lang w:val="en-GB"/>
        </w:rPr>
        <w:t xml:space="preserve">but include other areas where secondary schools are scarce or non-existent. </w:t>
      </w:r>
    </w:p>
    <w:p w14:paraId="07B86972" w14:textId="77777777" w:rsidR="005F5B2D" w:rsidRPr="00AD7EBC" w:rsidRDefault="005F5B2D" w:rsidP="005F5B2D">
      <w:pPr>
        <w:pStyle w:val="BodyText"/>
        <w:spacing w:before="8"/>
        <w:jc w:val="both"/>
        <w:rPr>
          <w:lang w:val="en-GB"/>
        </w:rPr>
      </w:pPr>
    </w:p>
    <w:p w14:paraId="18336D68" w14:textId="31007BB4" w:rsidR="005F5B2D" w:rsidRPr="00AD7EBC" w:rsidRDefault="005F5B2D" w:rsidP="00C62891">
      <w:pPr>
        <w:jc w:val="both"/>
        <w:rPr>
          <w:lang w:val="en-GB"/>
        </w:rPr>
      </w:pPr>
      <w:r w:rsidRPr="00AD7EBC">
        <w:rPr>
          <w:b/>
          <w:lang w:val="en-GB"/>
        </w:rPr>
        <w:t>Benchmark sampling for learning</w:t>
      </w:r>
      <w:r w:rsidRPr="00AD7EBC">
        <w:rPr>
          <w:lang w:val="en-GB"/>
        </w:rPr>
        <w:t xml:space="preserve"> will be done only in treatment schools</w:t>
      </w:r>
      <w:r w:rsidR="00F45684" w:rsidRPr="00AD7EBC">
        <w:rPr>
          <w:lang w:val="en-GB"/>
        </w:rPr>
        <w:t xml:space="preserve"> and AEP </w:t>
      </w:r>
      <w:r w:rsidR="00910C5C">
        <w:rPr>
          <w:lang w:val="en-GB"/>
        </w:rPr>
        <w:t>centre</w:t>
      </w:r>
      <w:r w:rsidR="00F45684" w:rsidRPr="00AD7EBC">
        <w:rPr>
          <w:lang w:val="en-GB"/>
        </w:rPr>
        <w:t>s</w:t>
      </w:r>
      <w:r w:rsidRPr="00AD7EBC">
        <w:rPr>
          <w:lang w:val="en-GB"/>
        </w:rPr>
        <w:t>, in line with t</w:t>
      </w:r>
      <w:r w:rsidR="00773674" w:rsidRPr="00AD7EBC">
        <w:rPr>
          <w:lang w:val="en-GB"/>
        </w:rPr>
        <w:t>he FM’s guidance. Because REALISE</w:t>
      </w:r>
      <w:r w:rsidRPr="00AD7EBC">
        <w:rPr>
          <w:lang w:val="en-GB"/>
        </w:rPr>
        <w:t xml:space="preserve"> beneficiaries are currently in grades</w:t>
      </w:r>
      <w:r w:rsidR="00773674" w:rsidRPr="00AD7EBC">
        <w:rPr>
          <w:lang w:val="en-GB"/>
        </w:rPr>
        <w:t xml:space="preserve"> 4 to 6</w:t>
      </w:r>
      <w:r w:rsidR="00757B52" w:rsidRPr="00AD7EBC">
        <w:rPr>
          <w:lang w:val="en-GB"/>
        </w:rPr>
        <w:t>,</w:t>
      </w:r>
      <w:r w:rsidR="00F45684" w:rsidRPr="00AD7EBC">
        <w:rPr>
          <w:lang w:val="en-GB"/>
        </w:rPr>
        <w:t xml:space="preserve"> and AEP levels 1 and 2,</w:t>
      </w:r>
      <w:r w:rsidR="00757B52" w:rsidRPr="00AD7EBC">
        <w:rPr>
          <w:lang w:val="en-GB"/>
        </w:rPr>
        <w:t xml:space="preserve"> the baseline for grades 5 to 6</w:t>
      </w:r>
      <w:r w:rsidR="00F45684" w:rsidRPr="00AD7EBC">
        <w:rPr>
          <w:lang w:val="en-GB"/>
        </w:rPr>
        <w:t xml:space="preserve"> and AEP levels 1 and 2</w:t>
      </w:r>
      <w:r w:rsidRPr="00AD7EBC">
        <w:rPr>
          <w:lang w:val="en-GB"/>
        </w:rPr>
        <w:t xml:space="preserve"> will serve as the benchmark for these grades. Additional sampling will be done to </w:t>
      </w:r>
      <w:r w:rsidR="00757B52" w:rsidRPr="00AD7EBC">
        <w:rPr>
          <w:lang w:val="en-GB"/>
        </w:rPr>
        <w:t>generate benchmarks for grades 7 to 9</w:t>
      </w:r>
      <w:r w:rsidR="00F45684" w:rsidRPr="00AD7EBC">
        <w:rPr>
          <w:lang w:val="en-GB"/>
        </w:rPr>
        <w:t>, and AEP level 3</w:t>
      </w:r>
      <w:r w:rsidRPr="00AD7EBC">
        <w:rPr>
          <w:lang w:val="en-GB"/>
        </w:rPr>
        <w:t xml:space="preserve">. </w:t>
      </w:r>
      <w:r w:rsidR="00327C51" w:rsidRPr="00AD7EBC">
        <w:rPr>
          <w:b/>
          <w:color w:val="FF0000"/>
          <w:lang w:val="en-GB"/>
        </w:rPr>
        <w:t>The sample size for each grade will be updated at the next draft of this MEL Framework.</w:t>
      </w:r>
    </w:p>
    <w:p w14:paraId="20F364EC" w14:textId="77777777" w:rsidR="00F001B6" w:rsidRPr="00AD7EBC" w:rsidRDefault="00F001B6" w:rsidP="00F001B6">
      <w:pPr>
        <w:jc w:val="both"/>
        <w:rPr>
          <w:lang w:val="en-GB"/>
        </w:rPr>
      </w:pPr>
    </w:p>
    <w:p w14:paraId="07F8DF1D" w14:textId="48600615" w:rsidR="005F5B2D" w:rsidRPr="00AD7EBC" w:rsidRDefault="005F5B2D" w:rsidP="00F001B6">
      <w:pPr>
        <w:jc w:val="both"/>
        <w:rPr>
          <w:color w:val="FF0000"/>
          <w:lang w:val="en-GB"/>
        </w:rPr>
      </w:pPr>
      <w:r w:rsidRPr="00AD7EBC">
        <w:rPr>
          <w:b/>
          <w:lang w:val="en-GB"/>
        </w:rPr>
        <w:t>The benchmark sampling for transition</w:t>
      </w:r>
      <w:r w:rsidRPr="00AD7EBC">
        <w:rPr>
          <w:lang w:val="en-GB"/>
        </w:rPr>
        <w:t xml:space="preserve"> will be done only in treatment communities, in line with the FM’s guidance. </w:t>
      </w:r>
      <w:r w:rsidR="00F001B6" w:rsidRPr="00AD7EBC">
        <w:rPr>
          <w:lang w:val="en-GB"/>
        </w:rPr>
        <w:t>Because REALISE</w:t>
      </w:r>
      <w:r w:rsidRPr="00AD7EBC">
        <w:rPr>
          <w:lang w:val="en-GB"/>
        </w:rPr>
        <w:t xml:space="preserve"> beneficiaries are currently aged </w:t>
      </w:r>
      <w:r w:rsidR="000F020A" w:rsidRPr="00AD7EBC">
        <w:rPr>
          <w:lang w:val="en-GB"/>
        </w:rPr>
        <w:t>9 to 13</w:t>
      </w:r>
      <w:r w:rsidRPr="00AD7EBC">
        <w:rPr>
          <w:lang w:val="en-GB"/>
        </w:rPr>
        <w:t xml:space="preserve"> years old, </w:t>
      </w:r>
      <w:r w:rsidRPr="00AD7EBC">
        <w:rPr>
          <w:lang w:val="en-GB"/>
        </w:rPr>
        <w:lastRenderedPageBreak/>
        <w:t xml:space="preserve">we will attempt to build a benchmark sample of this age bracket. </w:t>
      </w:r>
      <w:r w:rsidRPr="00AD7EBC">
        <w:rPr>
          <w:b/>
          <w:color w:val="FF0000"/>
          <w:lang w:val="en-GB"/>
        </w:rPr>
        <w:t xml:space="preserve">The total sample size </w:t>
      </w:r>
      <w:r w:rsidR="00C62891" w:rsidRPr="00AD7EBC">
        <w:rPr>
          <w:b/>
          <w:color w:val="FF0000"/>
          <w:lang w:val="en-GB"/>
        </w:rPr>
        <w:t>for transition will be updated at the next draft of this MEL Framework.</w:t>
      </w:r>
      <w:r w:rsidR="00C62891" w:rsidRPr="00AD7EBC">
        <w:rPr>
          <w:color w:val="FF0000"/>
          <w:lang w:val="en-GB"/>
        </w:rPr>
        <w:t xml:space="preserve"> </w:t>
      </w:r>
    </w:p>
    <w:p w14:paraId="78AE0E72" w14:textId="7413E373" w:rsidR="007C7D0F" w:rsidRPr="00AD7EBC" w:rsidRDefault="007C7D0F" w:rsidP="007C7D0F">
      <w:pPr>
        <w:pStyle w:val="BodyText"/>
        <w:spacing w:before="8"/>
        <w:rPr>
          <w:sz w:val="25"/>
          <w:lang w:val="en-GB"/>
        </w:rPr>
      </w:pPr>
    </w:p>
    <w:p w14:paraId="486D1EF4" w14:textId="646D129D" w:rsidR="00910C5C" w:rsidRPr="00AD7EBC" w:rsidRDefault="007C7D0F" w:rsidP="00C21EEA">
      <w:pPr>
        <w:pStyle w:val="Heading2"/>
        <w:rPr>
          <w:i/>
          <w:sz w:val="20"/>
        </w:rPr>
      </w:pPr>
      <w:bookmarkStart w:id="8" w:name="_Toc506203081"/>
      <w:r w:rsidRPr="00AD7EBC">
        <w:t>Baseline study</w:t>
      </w:r>
      <w:bookmarkEnd w:id="8"/>
    </w:p>
    <w:p w14:paraId="4A6ED00E" w14:textId="5BB31AEF" w:rsidR="002F2E0A" w:rsidRPr="00910C5C" w:rsidRDefault="002F2E0A" w:rsidP="00910C5C">
      <w:pPr>
        <w:pStyle w:val="BodyText"/>
        <w:spacing w:before="40"/>
        <w:ind w:right="111"/>
        <w:jc w:val="both"/>
        <w:rPr>
          <w:i/>
          <w:sz w:val="20"/>
          <w:lang w:val="en-GB"/>
        </w:rPr>
      </w:pPr>
    </w:p>
    <w:p w14:paraId="15AB0033" w14:textId="2282BE73" w:rsidR="00BD3BE2" w:rsidRPr="00AD7EBC" w:rsidRDefault="00BD3BE2" w:rsidP="00011402">
      <w:pPr>
        <w:pStyle w:val="BodyText"/>
        <w:spacing w:before="40"/>
        <w:ind w:left="100" w:right="111"/>
        <w:jc w:val="both"/>
        <w:outlineLvl w:val="0"/>
        <w:rPr>
          <w:b/>
          <w:color w:val="FF0000"/>
          <w:lang w:val="en-GB"/>
        </w:rPr>
      </w:pPr>
      <w:r w:rsidRPr="00AD7EBC">
        <w:rPr>
          <w:b/>
          <w:color w:val="FF0000"/>
          <w:lang w:val="en-GB"/>
        </w:rPr>
        <w:t xml:space="preserve">This section will be updated at the next MEL Framework draft. </w:t>
      </w:r>
    </w:p>
    <w:p w14:paraId="212B4A26" w14:textId="77777777" w:rsidR="007C7D0F" w:rsidRPr="00AD7EBC" w:rsidRDefault="007C7D0F" w:rsidP="007C7D0F">
      <w:pPr>
        <w:pStyle w:val="BodyText"/>
        <w:spacing w:before="9"/>
        <w:rPr>
          <w:sz w:val="20"/>
          <w:lang w:val="en-GB"/>
        </w:rPr>
      </w:pPr>
    </w:p>
    <w:p w14:paraId="672BEFBC" w14:textId="6F1DC745" w:rsidR="007C7D0F" w:rsidRPr="00910C5C" w:rsidRDefault="007C7D0F" w:rsidP="00C21EEA">
      <w:pPr>
        <w:pStyle w:val="Heading2"/>
        <w:rPr>
          <w:sz w:val="25"/>
        </w:rPr>
      </w:pPr>
      <w:bookmarkStart w:id="9" w:name="_Toc506203082"/>
      <w:r w:rsidRPr="00910C5C">
        <w:t>Evaluation governance</w:t>
      </w:r>
      <w:bookmarkEnd w:id="9"/>
      <w:r w:rsidRPr="00910C5C">
        <w:t xml:space="preserve"> </w:t>
      </w:r>
    </w:p>
    <w:p w14:paraId="1B98E1D5" w14:textId="77777777" w:rsidR="007C7D0F" w:rsidRPr="00AD7EBC" w:rsidRDefault="007C7D0F" w:rsidP="00C21EEA">
      <w:pPr>
        <w:pStyle w:val="ListParagraph"/>
        <w:numPr>
          <w:ilvl w:val="1"/>
          <w:numId w:val="5"/>
        </w:numPr>
        <w:tabs>
          <w:tab w:val="left" w:pos="473"/>
        </w:tabs>
        <w:ind w:left="372"/>
        <w:jc w:val="both"/>
        <w:rPr>
          <w:lang w:val="en-GB"/>
        </w:rPr>
      </w:pPr>
      <w:r w:rsidRPr="00AD7EBC">
        <w:rPr>
          <w:color w:val="1F487C"/>
          <w:lang w:val="en-GB"/>
        </w:rPr>
        <w:t>Evaluation steering</w:t>
      </w:r>
      <w:r w:rsidRPr="00AD7EBC">
        <w:rPr>
          <w:color w:val="1F487C"/>
          <w:spacing w:val="-9"/>
          <w:lang w:val="en-GB"/>
        </w:rPr>
        <w:t xml:space="preserve"> </w:t>
      </w:r>
      <w:r w:rsidRPr="00AD7EBC">
        <w:rPr>
          <w:color w:val="1F487C"/>
          <w:lang w:val="en-GB"/>
        </w:rPr>
        <w:t>group</w:t>
      </w:r>
    </w:p>
    <w:p w14:paraId="012ADBAD" w14:textId="77777777" w:rsidR="007C7D0F" w:rsidRPr="00AD7EBC" w:rsidRDefault="007C7D0F" w:rsidP="007C7D0F">
      <w:pPr>
        <w:pStyle w:val="BodyText"/>
        <w:spacing w:before="11"/>
        <w:rPr>
          <w:sz w:val="20"/>
          <w:lang w:val="en-GB"/>
        </w:rPr>
      </w:pPr>
    </w:p>
    <w:p w14:paraId="1FE6BB75" w14:textId="3E696DB6" w:rsidR="00B1149C" w:rsidRPr="00AD7EBC" w:rsidRDefault="00B1149C" w:rsidP="00B1149C">
      <w:pPr>
        <w:widowControl/>
        <w:autoSpaceDE w:val="0"/>
        <w:autoSpaceDN w:val="0"/>
        <w:adjustRightInd w:val="0"/>
        <w:jc w:val="both"/>
        <w:rPr>
          <w:rFonts w:ascii="ArialMT" w:eastAsiaTheme="minorHAnsi" w:hAnsi="ArialMT" w:cs="ArialMT"/>
          <w:lang w:val="en-GB"/>
        </w:rPr>
      </w:pPr>
      <w:r w:rsidRPr="00AD7EBC">
        <w:rPr>
          <w:rFonts w:ascii="ArialMT" w:eastAsiaTheme="minorHAnsi" w:hAnsi="ArialMT" w:cs="ArialMT"/>
          <w:lang w:val="en-GB"/>
        </w:rPr>
        <w:t xml:space="preserve">An Evaluation Steering Committee (ESC) will be created for REALISE to oversee and manage matters related to the evaluations (baseline, midline and endline). The ESC includes the REALISE Chief of Party, the REALISE Deputy Chiefs of Party (2), the MEAL specialist, the SCUK MEAL Advisor or the SCUK GECs Portfolio Manager, and the project’s Education Technical Advisor. This list might change slightly by the end of February 2018, but the core members (project’s key staff) of the evaluation steering group will remain the same. The evaluation committee will be responsible for developing and reviewing the EE TOR and recruiting the EE. They will provide technical support to the MEAL manager of quality issues including gender, disability and girl’s education. The evaluation committee will provide review of all the EE reports and give joint feedback to ensure that all dimensions of the evaluation as stipulated in the TOR are included in the reports. </w:t>
      </w:r>
    </w:p>
    <w:p w14:paraId="71B235C4" w14:textId="77777777" w:rsidR="00B1149C" w:rsidRPr="00AD7EBC" w:rsidRDefault="00B1149C" w:rsidP="00B1149C">
      <w:pPr>
        <w:widowControl/>
        <w:autoSpaceDE w:val="0"/>
        <w:autoSpaceDN w:val="0"/>
        <w:adjustRightInd w:val="0"/>
        <w:jc w:val="both"/>
        <w:rPr>
          <w:rFonts w:ascii="ArialMT" w:eastAsiaTheme="minorHAnsi" w:hAnsi="ArialMT" w:cs="ArialMT"/>
          <w:lang w:val="en-GB"/>
        </w:rPr>
      </w:pPr>
    </w:p>
    <w:p w14:paraId="5CC59E3B" w14:textId="13BE3F3E" w:rsidR="00B1149C" w:rsidRPr="00AD7EBC" w:rsidRDefault="00B1149C" w:rsidP="00B1149C">
      <w:pPr>
        <w:widowControl/>
        <w:autoSpaceDE w:val="0"/>
        <w:autoSpaceDN w:val="0"/>
        <w:adjustRightInd w:val="0"/>
        <w:jc w:val="both"/>
        <w:rPr>
          <w:rFonts w:ascii="ArialMT" w:eastAsiaTheme="minorHAnsi" w:hAnsi="ArialMT" w:cs="ArialMT"/>
          <w:lang w:val="en-GB"/>
        </w:rPr>
      </w:pPr>
      <w:r w:rsidRPr="00AD7EBC">
        <w:rPr>
          <w:rFonts w:ascii="ArialMT" w:eastAsiaTheme="minorHAnsi" w:hAnsi="ArialMT" w:cs="ArialMT"/>
          <w:lang w:val="en-GB"/>
        </w:rPr>
        <w:t xml:space="preserve">Although the ESC is set up to have an oversight of the evaluations, the REALISE Chief of Party will be the main focal point for the evaluators, with the MEAL Specialist as the main technical contact as well. The Chief of Party, along with the MEAL Specialist, are responsible to supervise and manage the external evaluators on a daily basis, from day 1 of hiring the evaluators until the sign-off of the evaluation report by the FM. It is expected that the Education Advisor, the SCUK MEAL Advisor, the SCUK Education advisor, the SCUK VfM Advisor and the SCUK Gender Advisor will provide technical inputs doing the implementation of the evaluations, and review draft reports of the evaluations in order to contribute to a robust and technically sound document before submission to the FM. </w:t>
      </w:r>
    </w:p>
    <w:p w14:paraId="24542B5B" w14:textId="77777777" w:rsidR="00B1149C" w:rsidRPr="00AD7EBC" w:rsidRDefault="00B1149C" w:rsidP="00B1149C">
      <w:pPr>
        <w:widowControl/>
        <w:autoSpaceDE w:val="0"/>
        <w:autoSpaceDN w:val="0"/>
        <w:adjustRightInd w:val="0"/>
        <w:jc w:val="both"/>
        <w:rPr>
          <w:rFonts w:ascii="ArialMT" w:eastAsiaTheme="minorHAnsi" w:hAnsi="ArialMT" w:cs="ArialMT"/>
          <w:lang w:val="en-GB"/>
        </w:rPr>
      </w:pPr>
    </w:p>
    <w:p w14:paraId="4C100771" w14:textId="3C45B5FB" w:rsidR="00B1149C" w:rsidRPr="00AD7EBC" w:rsidRDefault="00B1149C" w:rsidP="00B1149C">
      <w:pPr>
        <w:widowControl/>
        <w:autoSpaceDE w:val="0"/>
        <w:autoSpaceDN w:val="0"/>
        <w:adjustRightInd w:val="0"/>
        <w:jc w:val="both"/>
        <w:rPr>
          <w:rFonts w:ascii="ArialMT" w:eastAsiaTheme="minorHAnsi" w:hAnsi="ArialMT" w:cs="ArialMT"/>
          <w:lang w:val="en-GB"/>
        </w:rPr>
      </w:pPr>
      <w:r w:rsidRPr="00AD7EBC">
        <w:rPr>
          <w:rFonts w:ascii="ArialMT" w:eastAsiaTheme="minorHAnsi" w:hAnsi="ArialMT" w:cs="ArialMT"/>
          <w:lang w:val="en-GB"/>
        </w:rPr>
        <w:t>The first point of contact for the evaluators is the Chief of Party, who also chai</w:t>
      </w:r>
      <w:r w:rsidR="00C21EEA">
        <w:rPr>
          <w:rFonts w:ascii="ArialMT" w:eastAsiaTheme="minorHAnsi" w:hAnsi="ArialMT" w:cs="ArialMT"/>
          <w:lang w:val="en-GB"/>
        </w:rPr>
        <w:t xml:space="preserve">rs the ESC. The Chief of Party </w:t>
      </w:r>
      <w:r w:rsidRPr="00AD7EBC">
        <w:rPr>
          <w:rFonts w:ascii="ArialMT" w:eastAsiaTheme="minorHAnsi" w:hAnsi="ArialMT" w:cs="ArialMT"/>
          <w:lang w:val="en-GB"/>
        </w:rPr>
        <w:t xml:space="preserve">will involve the relevant technical advisors when deemed necessary, and according to each person’s expertise and relevance to the evaluations work. However, the project’s MEAL Specialist is also expected to play a significant role in managing the evaluation process, acting as a second point of contact for the evaluators, and being able to provide more technical support when necessary. </w:t>
      </w:r>
    </w:p>
    <w:p w14:paraId="2EB9906F" w14:textId="77777777" w:rsidR="00B1149C" w:rsidRPr="00AD7EBC" w:rsidRDefault="00B1149C" w:rsidP="007C7D0F">
      <w:pPr>
        <w:pStyle w:val="BodyText"/>
        <w:spacing w:before="11"/>
        <w:rPr>
          <w:sz w:val="20"/>
          <w:lang w:val="en-GB"/>
        </w:rPr>
      </w:pPr>
    </w:p>
    <w:p w14:paraId="643A28CE" w14:textId="77777777" w:rsidR="007C7D0F" w:rsidRPr="00AD7EBC" w:rsidRDefault="007C7D0F" w:rsidP="00C21EEA">
      <w:pPr>
        <w:pStyle w:val="ListParagraph"/>
        <w:numPr>
          <w:ilvl w:val="1"/>
          <w:numId w:val="5"/>
        </w:numPr>
        <w:tabs>
          <w:tab w:val="left" w:pos="473"/>
        </w:tabs>
        <w:ind w:left="372"/>
        <w:jc w:val="both"/>
        <w:rPr>
          <w:lang w:val="en-GB"/>
        </w:rPr>
      </w:pPr>
      <w:r w:rsidRPr="00AD7EBC">
        <w:rPr>
          <w:color w:val="1F487C"/>
          <w:lang w:val="en-GB"/>
        </w:rPr>
        <w:t>External</w:t>
      </w:r>
      <w:r w:rsidRPr="00AD7EBC">
        <w:rPr>
          <w:color w:val="1F487C"/>
          <w:spacing w:val="-5"/>
          <w:lang w:val="en-GB"/>
        </w:rPr>
        <w:t xml:space="preserve"> </w:t>
      </w:r>
      <w:r w:rsidRPr="00AD7EBC">
        <w:rPr>
          <w:color w:val="1F487C"/>
          <w:lang w:val="en-GB"/>
        </w:rPr>
        <w:t>evaluator</w:t>
      </w:r>
    </w:p>
    <w:p w14:paraId="3F799074" w14:textId="2F199635" w:rsidR="00BD3BE2" w:rsidRPr="00AD7EBC" w:rsidRDefault="00BD3BE2" w:rsidP="007C7D0F">
      <w:pPr>
        <w:pStyle w:val="BodyText"/>
        <w:spacing w:before="37"/>
        <w:ind w:left="100" w:right="113"/>
        <w:jc w:val="both"/>
        <w:rPr>
          <w:i/>
          <w:sz w:val="20"/>
          <w:lang w:val="en-GB"/>
        </w:rPr>
      </w:pPr>
    </w:p>
    <w:p w14:paraId="60A8F5F5" w14:textId="597755A7" w:rsidR="00BD3BE2" w:rsidRPr="00AD7EBC" w:rsidRDefault="00BD3BE2" w:rsidP="00BD3BE2">
      <w:pPr>
        <w:widowControl/>
        <w:autoSpaceDE w:val="0"/>
        <w:autoSpaceDN w:val="0"/>
        <w:adjustRightInd w:val="0"/>
        <w:jc w:val="both"/>
        <w:rPr>
          <w:rFonts w:ascii="ArialMT" w:eastAsiaTheme="minorHAnsi" w:hAnsi="ArialMT" w:cs="ArialMT"/>
          <w:lang w:val="en-GB"/>
        </w:rPr>
      </w:pPr>
      <w:r w:rsidRPr="00AD7EBC">
        <w:rPr>
          <w:rFonts w:ascii="ArialMT" w:eastAsiaTheme="minorHAnsi" w:hAnsi="ArialMT" w:cs="ArialMT"/>
          <w:lang w:val="en-GB"/>
        </w:rPr>
        <w:t xml:space="preserve">The independent external evaluator will be procured via a rigorous competitive international tender, using the guidance and profile as required under the MEL Guidance provided by the FM. Save the Children has used the ToR template provided by the FM in the MEL Guidance and adapted some sections specifically to the project. The ToR has been reviewed by several team members, and the final version has been submitted to Save the Children DRC Procurement and HR teams for advertisement. </w:t>
      </w:r>
    </w:p>
    <w:p w14:paraId="4CF09A89" w14:textId="77777777" w:rsidR="00BD3BE2" w:rsidRPr="00AD7EBC" w:rsidRDefault="00BD3BE2" w:rsidP="00BD3BE2">
      <w:pPr>
        <w:widowControl/>
        <w:autoSpaceDE w:val="0"/>
        <w:autoSpaceDN w:val="0"/>
        <w:adjustRightInd w:val="0"/>
        <w:jc w:val="both"/>
        <w:rPr>
          <w:rFonts w:ascii="ArialMT" w:eastAsiaTheme="minorHAnsi" w:hAnsi="ArialMT" w:cs="ArialMT"/>
          <w:lang w:val="en-GB"/>
        </w:rPr>
      </w:pPr>
    </w:p>
    <w:p w14:paraId="45654E24" w14:textId="77777777" w:rsidR="00BD3BE2" w:rsidRPr="00AD7EBC" w:rsidRDefault="00BD3BE2" w:rsidP="00BD3BE2">
      <w:pPr>
        <w:widowControl/>
        <w:autoSpaceDE w:val="0"/>
        <w:autoSpaceDN w:val="0"/>
        <w:adjustRightInd w:val="0"/>
        <w:jc w:val="both"/>
        <w:rPr>
          <w:rFonts w:ascii="ArialMT" w:eastAsiaTheme="minorHAnsi" w:hAnsi="ArialMT" w:cs="ArialMT"/>
          <w:lang w:val="en-GB"/>
        </w:rPr>
      </w:pPr>
      <w:r w:rsidRPr="00AD7EBC">
        <w:rPr>
          <w:rFonts w:ascii="ArialMT" w:eastAsiaTheme="minorHAnsi" w:hAnsi="ArialMT" w:cs="ArialMT"/>
          <w:lang w:val="en-GB"/>
        </w:rPr>
        <w:t>Following the advertisement of the evaluations ToR, the ESC is expected to receive Expression of Interests (</w:t>
      </w:r>
      <w:proofErr w:type="spellStart"/>
      <w:r w:rsidRPr="00AD7EBC">
        <w:rPr>
          <w:rFonts w:ascii="ArialMT" w:eastAsiaTheme="minorHAnsi" w:hAnsi="ArialMT" w:cs="ArialMT"/>
          <w:lang w:val="en-GB"/>
        </w:rPr>
        <w:t>EoI</w:t>
      </w:r>
      <w:proofErr w:type="spellEnd"/>
      <w:r w:rsidRPr="00AD7EBC">
        <w:rPr>
          <w:rFonts w:ascii="ArialMT" w:eastAsiaTheme="minorHAnsi" w:hAnsi="ArialMT" w:cs="ArialMT"/>
          <w:lang w:val="en-GB"/>
        </w:rPr>
        <w:t xml:space="preserve">) from interested applicants. The team will assess each applicant based on their </w:t>
      </w:r>
      <w:proofErr w:type="spellStart"/>
      <w:r w:rsidRPr="00AD7EBC">
        <w:rPr>
          <w:rFonts w:ascii="ArialMT" w:eastAsiaTheme="minorHAnsi" w:hAnsi="ArialMT" w:cs="ArialMT"/>
          <w:lang w:val="en-GB"/>
        </w:rPr>
        <w:lastRenderedPageBreak/>
        <w:t>EoI</w:t>
      </w:r>
      <w:proofErr w:type="spellEnd"/>
      <w:r w:rsidRPr="00AD7EBC">
        <w:rPr>
          <w:rFonts w:ascii="ArialMT" w:eastAsiaTheme="minorHAnsi" w:hAnsi="ArialMT" w:cs="ArialMT"/>
          <w:lang w:val="en-GB"/>
        </w:rPr>
        <w:t xml:space="preserve"> and invite promising applicants to send over their full proposals. Once the proposals have been submitted and received by the ESC, each member will read through and score each applicant strictly according to an assessment grid, which is used by all members, in order to be as objective, fair and appropriate as possible. The key criteria against which the applicants will be assessed include:</w:t>
      </w:r>
    </w:p>
    <w:p w14:paraId="5A7382C9" w14:textId="77777777" w:rsidR="00BD3BE2" w:rsidRPr="00AD7EBC" w:rsidRDefault="00BD3BE2" w:rsidP="00BD3BE2">
      <w:pPr>
        <w:pStyle w:val="ListParagraph"/>
        <w:widowControl/>
        <w:numPr>
          <w:ilvl w:val="0"/>
          <w:numId w:val="28"/>
        </w:numPr>
        <w:autoSpaceDE w:val="0"/>
        <w:autoSpaceDN w:val="0"/>
        <w:adjustRightInd w:val="0"/>
        <w:jc w:val="both"/>
        <w:rPr>
          <w:rFonts w:ascii="ArialMT" w:eastAsiaTheme="minorHAnsi" w:hAnsi="ArialMT" w:cs="ArialMT"/>
          <w:lang w:val="en-GB"/>
        </w:rPr>
      </w:pPr>
      <w:r w:rsidRPr="00AD7EBC">
        <w:rPr>
          <w:rFonts w:ascii="ArialMT" w:eastAsiaTheme="minorHAnsi" w:hAnsi="ArialMT" w:cs="ArialMT"/>
          <w:lang w:val="en-GB"/>
        </w:rPr>
        <w:t>Team structure, skills and competence (incl.</w:t>
      </w:r>
      <w:r w:rsidRPr="00AD7EBC">
        <w:rPr>
          <w:rFonts w:ascii="ArialMT" w:eastAsiaTheme="minorHAnsi" w:hAnsi="ArialMT" w:cs="ArialMT"/>
          <w:b/>
          <w:lang w:val="en-GB"/>
        </w:rPr>
        <w:t xml:space="preserve"> education, gender, inclusion</w:t>
      </w:r>
      <w:r w:rsidRPr="00AD7EBC">
        <w:rPr>
          <w:rFonts w:ascii="ArialMT" w:eastAsiaTheme="minorHAnsi" w:hAnsi="ArialMT" w:cs="ArialMT"/>
          <w:lang w:val="en-GB"/>
        </w:rPr>
        <w:t>, statistics/econometrics and project management expertise)</w:t>
      </w:r>
    </w:p>
    <w:p w14:paraId="1C6D2C58" w14:textId="3A5A050F" w:rsidR="00BD3BE2" w:rsidRPr="00AD7EBC" w:rsidRDefault="00BD3BE2" w:rsidP="00BD3BE2">
      <w:pPr>
        <w:pStyle w:val="ListParagraph"/>
        <w:widowControl/>
        <w:numPr>
          <w:ilvl w:val="0"/>
          <w:numId w:val="28"/>
        </w:numPr>
        <w:autoSpaceDE w:val="0"/>
        <w:autoSpaceDN w:val="0"/>
        <w:adjustRightInd w:val="0"/>
        <w:jc w:val="both"/>
        <w:rPr>
          <w:rFonts w:ascii="ArialMT" w:eastAsiaTheme="minorHAnsi" w:hAnsi="ArialMT" w:cs="ArialMT"/>
          <w:lang w:val="en-GB"/>
        </w:rPr>
      </w:pPr>
      <w:r w:rsidRPr="00AD7EBC">
        <w:rPr>
          <w:rFonts w:ascii="ArialMT" w:eastAsiaTheme="minorHAnsi" w:hAnsi="ArialMT" w:cs="ArialMT"/>
          <w:lang w:val="en-GB"/>
        </w:rPr>
        <w:t>Experience in the DRC (including French ability) and in conducting large-scale, complex, similar evaluations (experimental or quasi-experimental mixed-methods approach)</w:t>
      </w:r>
    </w:p>
    <w:p w14:paraId="234ADED9" w14:textId="77777777" w:rsidR="00BD3BE2" w:rsidRPr="00AD7EBC" w:rsidRDefault="00BD3BE2" w:rsidP="00BD3BE2">
      <w:pPr>
        <w:pStyle w:val="ListParagraph"/>
        <w:widowControl/>
        <w:numPr>
          <w:ilvl w:val="0"/>
          <w:numId w:val="28"/>
        </w:numPr>
        <w:autoSpaceDE w:val="0"/>
        <w:autoSpaceDN w:val="0"/>
        <w:adjustRightInd w:val="0"/>
        <w:jc w:val="both"/>
        <w:rPr>
          <w:rFonts w:ascii="ArialMT" w:eastAsiaTheme="minorHAnsi" w:hAnsi="ArialMT" w:cs="ArialMT"/>
          <w:lang w:val="en-GB"/>
        </w:rPr>
      </w:pPr>
      <w:r w:rsidRPr="00AD7EBC">
        <w:rPr>
          <w:rFonts w:ascii="ArialMT" w:eastAsiaTheme="minorHAnsi" w:hAnsi="ArialMT" w:cs="ArialMT"/>
          <w:lang w:val="en-GB"/>
        </w:rPr>
        <w:t xml:space="preserve"> Definition of a detailed and robust methodology and research questions that are appropriate to the project</w:t>
      </w:r>
    </w:p>
    <w:p w14:paraId="0A53EB20" w14:textId="77777777" w:rsidR="00BD3BE2" w:rsidRPr="00AD7EBC" w:rsidRDefault="00BD3BE2" w:rsidP="00BD3BE2">
      <w:pPr>
        <w:pStyle w:val="ListParagraph"/>
        <w:widowControl/>
        <w:numPr>
          <w:ilvl w:val="0"/>
          <w:numId w:val="28"/>
        </w:numPr>
        <w:autoSpaceDE w:val="0"/>
        <w:autoSpaceDN w:val="0"/>
        <w:adjustRightInd w:val="0"/>
        <w:jc w:val="both"/>
        <w:rPr>
          <w:rFonts w:ascii="ArialMT" w:eastAsiaTheme="minorHAnsi" w:hAnsi="ArialMT" w:cs="ArialMT"/>
          <w:lang w:val="en-GB"/>
        </w:rPr>
      </w:pPr>
      <w:r w:rsidRPr="00AD7EBC">
        <w:rPr>
          <w:rFonts w:ascii="ArialMT" w:eastAsiaTheme="minorHAnsi" w:hAnsi="ArialMT" w:cs="ArialMT"/>
          <w:lang w:val="en-GB"/>
        </w:rPr>
        <w:t>A sound workplan and timeline clearly listing key activities during the evaluation process, and roles</w:t>
      </w:r>
    </w:p>
    <w:p w14:paraId="506FD841" w14:textId="77777777" w:rsidR="00BD3BE2" w:rsidRPr="00AD7EBC" w:rsidRDefault="00BD3BE2" w:rsidP="00BD3BE2">
      <w:pPr>
        <w:pStyle w:val="ListParagraph"/>
        <w:widowControl/>
        <w:numPr>
          <w:ilvl w:val="0"/>
          <w:numId w:val="28"/>
        </w:numPr>
        <w:autoSpaceDE w:val="0"/>
        <w:autoSpaceDN w:val="0"/>
        <w:adjustRightInd w:val="0"/>
        <w:jc w:val="both"/>
        <w:rPr>
          <w:rFonts w:ascii="ArialMT" w:eastAsiaTheme="minorHAnsi" w:hAnsi="ArialMT" w:cs="ArialMT"/>
          <w:lang w:val="en-GB"/>
        </w:rPr>
      </w:pPr>
      <w:r w:rsidRPr="00AD7EBC">
        <w:rPr>
          <w:rFonts w:ascii="ArialMT" w:eastAsiaTheme="minorHAnsi" w:hAnsi="ArialMT" w:cs="ArialMT"/>
          <w:lang w:val="en-GB"/>
        </w:rPr>
        <w:t>Knowledge and experience in conducting VfM assessment</w:t>
      </w:r>
    </w:p>
    <w:p w14:paraId="6DC82734" w14:textId="77777777" w:rsidR="00BD3BE2" w:rsidRPr="00AD7EBC" w:rsidRDefault="00BD3BE2" w:rsidP="00BD3BE2">
      <w:pPr>
        <w:pStyle w:val="ListParagraph"/>
        <w:widowControl/>
        <w:numPr>
          <w:ilvl w:val="0"/>
          <w:numId w:val="28"/>
        </w:numPr>
        <w:autoSpaceDE w:val="0"/>
        <w:autoSpaceDN w:val="0"/>
        <w:adjustRightInd w:val="0"/>
        <w:jc w:val="both"/>
        <w:rPr>
          <w:rFonts w:ascii="ArialMT" w:eastAsiaTheme="minorHAnsi" w:hAnsi="ArialMT" w:cs="ArialMT"/>
          <w:lang w:val="en-GB"/>
        </w:rPr>
      </w:pPr>
      <w:r w:rsidRPr="00AD7EBC">
        <w:rPr>
          <w:rFonts w:ascii="ArialMT" w:eastAsiaTheme="minorHAnsi" w:hAnsi="ArialMT" w:cs="ArialMT"/>
          <w:lang w:val="en-GB"/>
        </w:rPr>
        <w:t>A rigorous child safeguarding policy and ethical protocols around research, which are aligned with international standards, Save the Children standards, and the GEC policies and standards</w:t>
      </w:r>
    </w:p>
    <w:p w14:paraId="3294DDD1" w14:textId="77777777" w:rsidR="00BD3BE2" w:rsidRPr="00AD7EBC" w:rsidRDefault="00BD3BE2" w:rsidP="00BD3BE2">
      <w:pPr>
        <w:pStyle w:val="ListParagraph"/>
        <w:widowControl/>
        <w:numPr>
          <w:ilvl w:val="0"/>
          <w:numId w:val="28"/>
        </w:numPr>
        <w:autoSpaceDE w:val="0"/>
        <w:autoSpaceDN w:val="0"/>
        <w:adjustRightInd w:val="0"/>
        <w:jc w:val="both"/>
        <w:rPr>
          <w:rFonts w:ascii="ArialMT" w:eastAsiaTheme="minorHAnsi" w:hAnsi="ArialMT" w:cs="ArialMT"/>
          <w:lang w:val="en-GB"/>
        </w:rPr>
      </w:pPr>
      <w:r w:rsidRPr="00AD7EBC">
        <w:rPr>
          <w:rFonts w:ascii="ArialMT" w:eastAsiaTheme="minorHAnsi" w:hAnsi="ArialMT" w:cs="ArialMT"/>
          <w:lang w:val="en-GB"/>
        </w:rPr>
        <w:t>A budget plan that is realistic, value for money and relevant to the expected work</w:t>
      </w:r>
    </w:p>
    <w:p w14:paraId="140E725F" w14:textId="77777777" w:rsidR="00BD3BE2" w:rsidRPr="00AD7EBC" w:rsidRDefault="00BD3BE2" w:rsidP="00BD3BE2">
      <w:pPr>
        <w:widowControl/>
        <w:autoSpaceDE w:val="0"/>
        <w:autoSpaceDN w:val="0"/>
        <w:adjustRightInd w:val="0"/>
        <w:jc w:val="both"/>
        <w:rPr>
          <w:rFonts w:ascii="ArialMT" w:eastAsiaTheme="minorHAnsi" w:hAnsi="ArialMT" w:cs="ArialMT"/>
          <w:lang w:val="en-GB"/>
        </w:rPr>
      </w:pPr>
    </w:p>
    <w:p w14:paraId="09465904" w14:textId="77777777" w:rsidR="00BD3BE2" w:rsidRPr="00AD7EBC" w:rsidRDefault="00BD3BE2" w:rsidP="00BD3BE2">
      <w:pPr>
        <w:widowControl/>
        <w:autoSpaceDE w:val="0"/>
        <w:autoSpaceDN w:val="0"/>
        <w:adjustRightInd w:val="0"/>
        <w:jc w:val="both"/>
        <w:rPr>
          <w:rFonts w:ascii="ArialMT" w:eastAsiaTheme="minorHAnsi" w:hAnsi="ArialMT" w:cs="ArialMT"/>
          <w:lang w:val="en-GB"/>
        </w:rPr>
      </w:pPr>
      <w:r w:rsidRPr="00AD7EBC">
        <w:rPr>
          <w:rFonts w:ascii="ArialMT" w:eastAsiaTheme="minorHAnsi" w:hAnsi="ArialMT" w:cs="ArialMT"/>
          <w:lang w:val="en-GB"/>
        </w:rPr>
        <w:t xml:space="preserve">Based on the outcome of these assessments and score grid, the top three applicants will be shortlisted, notified and invited to take an in-depth interview with the ESC. This interview will enable the ESC and the potential consultants to dive into their approach and get a more detailed understand and practicality of the evaluation strategy they have chosen. The ESC will select the right applicant based on their ability to demonstrate technical skills and understanding of the approach to implement the evaluation, as well as value for money, and appropriate team structure to respond to the technical and operational needs of the evaluation in country. </w:t>
      </w:r>
    </w:p>
    <w:p w14:paraId="6AD1B243" w14:textId="77777777" w:rsidR="00BD3BE2" w:rsidRPr="00AD7EBC" w:rsidRDefault="00BD3BE2" w:rsidP="00BD3BE2">
      <w:pPr>
        <w:widowControl/>
        <w:autoSpaceDE w:val="0"/>
        <w:autoSpaceDN w:val="0"/>
        <w:adjustRightInd w:val="0"/>
        <w:jc w:val="both"/>
        <w:rPr>
          <w:rFonts w:ascii="ArialMT" w:eastAsiaTheme="minorHAnsi" w:hAnsi="ArialMT" w:cs="ArialMT"/>
          <w:lang w:val="en-GB"/>
        </w:rPr>
      </w:pPr>
    </w:p>
    <w:p w14:paraId="03A428F4" w14:textId="180DD956" w:rsidR="00BD3BE2" w:rsidRPr="00AD7EBC" w:rsidRDefault="00BD3BE2" w:rsidP="00366157">
      <w:pPr>
        <w:widowControl/>
        <w:autoSpaceDE w:val="0"/>
        <w:autoSpaceDN w:val="0"/>
        <w:adjustRightInd w:val="0"/>
        <w:jc w:val="both"/>
        <w:rPr>
          <w:rFonts w:ascii="ArialMT" w:eastAsiaTheme="minorHAnsi" w:hAnsi="ArialMT" w:cs="ArialMT"/>
          <w:lang w:val="en-GB"/>
        </w:rPr>
      </w:pPr>
      <w:r w:rsidRPr="00AD7EBC">
        <w:rPr>
          <w:rFonts w:ascii="ArialMT" w:eastAsiaTheme="minorHAnsi" w:hAnsi="ArialMT" w:cs="ArialMT"/>
          <w:lang w:val="en-GB"/>
        </w:rPr>
        <w:t xml:space="preserve">An evaluation consultant/organisation will be hired from the beginning of the project and engage from the baseline evaluation until the endline evaluation if the evaluators can demonstrate high standards and </w:t>
      </w:r>
      <w:proofErr w:type="gramStart"/>
      <w:r w:rsidRPr="00AD7EBC">
        <w:rPr>
          <w:rFonts w:ascii="ArialMT" w:eastAsiaTheme="minorHAnsi" w:hAnsi="ArialMT" w:cs="ArialMT"/>
          <w:lang w:val="en-GB"/>
        </w:rPr>
        <w:t>high quality</w:t>
      </w:r>
      <w:proofErr w:type="gramEnd"/>
      <w:r w:rsidRPr="00AD7EBC">
        <w:rPr>
          <w:rFonts w:ascii="ArialMT" w:eastAsiaTheme="minorHAnsi" w:hAnsi="ArialMT" w:cs="ArialMT"/>
          <w:lang w:val="en-GB"/>
        </w:rPr>
        <w:t xml:space="preserve"> work. In case of satisfactory performance, the project aims to continue working with the same consultants for midline and endline to ensure the consistency in approach and efficiency of purpose.  </w:t>
      </w:r>
    </w:p>
    <w:p w14:paraId="70730B04" w14:textId="77777777" w:rsidR="007C7D0F" w:rsidRPr="00AD7EBC" w:rsidRDefault="007C7D0F" w:rsidP="007C7D0F">
      <w:pPr>
        <w:pStyle w:val="BodyText"/>
        <w:spacing w:before="11"/>
        <w:rPr>
          <w:sz w:val="20"/>
          <w:lang w:val="en-GB"/>
        </w:rPr>
      </w:pPr>
    </w:p>
    <w:p w14:paraId="087A8ACC" w14:textId="77777777" w:rsidR="007C7D0F" w:rsidRPr="00AD7EBC" w:rsidRDefault="007C7D0F" w:rsidP="00C21EEA">
      <w:pPr>
        <w:pStyle w:val="ListParagraph"/>
        <w:numPr>
          <w:ilvl w:val="1"/>
          <w:numId w:val="5"/>
        </w:numPr>
        <w:tabs>
          <w:tab w:val="left" w:pos="473"/>
        </w:tabs>
        <w:ind w:left="372"/>
        <w:jc w:val="both"/>
        <w:rPr>
          <w:lang w:val="en-GB"/>
        </w:rPr>
      </w:pPr>
      <w:r w:rsidRPr="00AD7EBC">
        <w:rPr>
          <w:color w:val="1F487C"/>
          <w:lang w:val="en-GB"/>
        </w:rPr>
        <w:t>Data</w:t>
      </w:r>
      <w:r w:rsidRPr="00AD7EBC">
        <w:rPr>
          <w:color w:val="1F487C"/>
          <w:spacing w:val="-7"/>
          <w:lang w:val="en-GB"/>
        </w:rPr>
        <w:t xml:space="preserve"> </w:t>
      </w:r>
      <w:r w:rsidRPr="00AD7EBC">
        <w:rPr>
          <w:color w:val="1F487C"/>
          <w:lang w:val="en-GB"/>
        </w:rPr>
        <w:t>validation</w:t>
      </w:r>
    </w:p>
    <w:p w14:paraId="49DD5816" w14:textId="57DD2B8C" w:rsidR="00366157" w:rsidRPr="00AD7EBC" w:rsidRDefault="00366157" w:rsidP="007C7D0F">
      <w:pPr>
        <w:spacing w:before="37"/>
        <w:ind w:left="100" w:right="115"/>
        <w:jc w:val="both"/>
        <w:rPr>
          <w:i/>
          <w:sz w:val="20"/>
          <w:lang w:val="en-GB"/>
        </w:rPr>
      </w:pPr>
    </w:p>
    <w:p w14:paraId="36F465B1" w14:textId="5F4A457B" w:rsidR="00366157" w:rsidRPr="00AD7EBC" w:rsidRDefault="00366157" w:rsidP="00C21EEA">
      <w:pPr>
        <w:spacing w:before="37"/>
        <w:ind w:right="115"/>
        <w:jc w:val="both"/>
        <w:rPr>
          <w:lang w:val="en-GB"/>
        </w:rPr>
      </w:pPr>
      <w:r w:rsidRPr="00AD7EBC">
        <w:rPr>
          <w:lang w:val="en-GB"/>
        </w:rPr>
        <w:t xml:space="preserve">To ensure that the evaluation will be undertaken in an independent and impartial way, the project has decided to hire an external independent evaluator through a strict international tender process. Once the evaluators are hired, they will run the whole evaluation process independently and autonomously, with their own staff and enumerators. The project team will only get involved to ensure that relevant documents are being shared with the evaluators, to support in answering questions the evaluators might have, and review data collection tools and reports. None of the project staff will at any moment be helping the external evaluators collect data or </w:t>
      </w:r>
      <w:r w:rsidR="00C21EEA" w:rsidRPr="00AD7EBC">
        <w:rPr>
          <w:lang w:val="en-GB"/>
        </w:rPr>
        <w:t>analyse</w:t>
      </w:r>
      <w:r w:rsidRPr="00AD7EBC">
        <w:rPr>
          <w:lang w:val="en-GB"/>
        </w:rPr>
        <w:t xml:space="preserve"> data, or even recruit local enumerators or staff. </w:t>
      </w:r>
    </w:p>
    <w:p w14:paraId="58EE175C" w14:textId="77777777" w:rsidR="00366157" w:rsidRPr="00AD7EBC" w:rsidRDefault="00366157" w:rsidP="00C21EEA">
      <w:pPr>
        <w:spacing w:before="37"/>
        <w:ind w:right="115"/>
        <w:jc w:val="both"/>
        <w:rPr>
          <w:lang w:val="en-GB"/>
        </w:rPr>
      </w:pPr>
    </w:p>
    <w:p w14:paraId="5ADC84A2" w14:textId="4102F904" w:rsidR="00366157" w:rsidRPr="00AD7EBC" w:rsidRDefault="00366157" w:rsidP="00C21EEA">
      <w:pPr>
        <w:spacing w:before="37"/>
        <w:ind w:right="115"/>
        <w:jc w:val="both"/>
        <w:rPr>
          <w:sz w:val="20"/>
          <w:lang w:val="en-GB"/>
        </w:rPr>
      </w:pPr>
      <w:r w:rsidRPr="00AD7EBC">
        <w:rPr>
          <w:lang w:val="en-GB"/>
        </w:rPr>
        <w:t xml:space="preserve">The Terms of Reference for the independent evaluators has specifically asked applicants to detail their plan for data validation and quality in their proposals. As mentioned above, the data collection for the evaluation will be run entirely by the external evaluators, with no involvement from the project team and staff. The external evaluators, with the help of enumerators and field supervisors, will be responsible to collect data needed for the baseline, midline and endline in an autonomous way. To validate the veracity of the data collected, the project will request the </w:t>
      </w:r>
      <w:r w:rsidRPr="00AD7EBC">
        <w:rPr>
          <w:lang w:val="en-GB"/>
        </w:rPr>
        <w:lastRenderedPageBreak/>
        <w:t>external evaluators to share the raw dataset. This might be able to be triangulated and cross-checked with some of the data that the project will have collected through its monitoring system. Any suspicious or unlikely data will be investigated further at the request of the project management team to the external evaluators, and they are expected to provide reasons and causes behind data that seem to be outliers or unlikely. If the problem is related to data collection procedures, the project team will expect the EE to take corrective measures in due course. In order to reduce any errors that are due to procedural activities, a thorough training will be provided to the enumerators or any sub-contractors by the EE, with possibly the support of the project MEAL specialist.</w:t>
      </w:r>
    </w:p>
    <w:p w14:paraId="7D45AABF" w14:textId="77777777" w:rsidR="007C7D0F" w:rsidRPr="00AD7EBC" w:rsidRDefault="007C7D0F" w:rsidP="007C7D0F">
      <w:pPr>
        <w:pStyle w:val="BodyText"/>
        <w:spacing w:before="9"/>
        <w:rPr>
          <w:sz w:val="20"/>
          <w:lang w:val="en-GB"/>
        </w:rPr>
      </w:pPr>
    </w:p>
    <w:p w14:paraId="45338512" w14:textId="67F38753" w:rsidR="007C7D0F" w:rsidRPr="00A927BC" w:rsidRDefault="007C7D0F" w:rsidP="00A927BC">
      <w:pPr>
        <w:pStyle w:val="Heading2"/>
      </w:pPr>
      <w:bookmarkStart w:id="10" w:name="_Toc506203083"/>
      <w:r w:rsidRPr="00AD7EBC">
        <w:t>Data quality assurance</w:t>
      </w:r>
      <w:bookmarkEnd w:id="10"/>
    </w:p>
    <w:p w14:paraId="6484DD87" w14:textId="77777777" w:rsidR="007C7D0F" w:rsidRPr="00AD7EBC" w:rsidRDefault="007C7D0F" w:rsidP="00C21EEA">
      <w:pPr>
        <w:pStyle w:val="ListParagraph"/>
        <w:numPr>
          <w:ilvl w:val="1"/>
          <w:numId w:val="4"/>
        </w:numPr>
        <w:tabs>
          <w:tab w:val="left" w:pos="473"/>
        </w:tabs>
        <w:ind w:left="372"/>
        <w:jc w:val="both"/>
        <w:rPr>
          <w:lang w:val="en-GB"/>
        </w:rPr>
      </w:pPr>
      <w:r w:rsidRPr="00AD7EBC">
        <w:rPr>
          <w:color w:val="1F487C"/>
          <w:lang w:val="en-GB"/>
        </w:rPr>
        <w:t>Training</w:t>
      </w:r>
    </w:p>
    <w:p w14:paraId="077AF089" w14:textId="126A5B10" w:rsidR="00212B53" w:rsidRPr="00AD7EBC" w:rsidRDefault="00212B53" w:rsidP="007C7D0F">
      <w:pPr>
        <w:pStyle w:val="BodyText"/>
        <w:spacing w:before="37"/>
        <w:ind w:left="100" w:right="121"/>
        <w:jc w:val="both"/>
        <w:rPr>
          <w:lang w:val="en-GB"/>
        </w:rPr>
      </w:pPr>
    </w:p>
    <w:p w14:paraId="1027EBF5" w14:textId="6F3DD5B0" w:rsidR="00212B53" w:rsidRPr="00AD7EBC" w:rsidRDefault="00212B53" w:rsidP="00C21EEA">
      <w:pPr>
        <w:pStyle w:val="BodyText"/>
        <w:spacing w:before="37"/>
        <w:ind w:right="121"/>
        <w:jc w:val="both"/>
        <w:rPr>
          <w:lang w:val="en-GB"/>
        </w:rPr>
      </w:pPr>
      <w:r w:rsidRPr="00AD7EBC">
        <w:rPr>
          <w:lang w:val="en-GB"/>
        </w:rPr>
        <w:t xml:space="preserve">The project will use the inception phase at each evaluation point to ensure that the hired evaluators have a full understanding of the project, its objectives and its interventions, the tools being used to collect data, and are aware of expectations regarding data quality. The project team and evaluators will go through each tool to make sure that everyone is on the same page and understands each question in the same way. There is a need to keep the questionnaire as essential as possible, i.e. not over burdening the participants with questions that might not be absolutely useful or relevant for the project’s research questions. As such, there won’t be any training provided to the evaluators per se, but a close collaboration during inception phase to ensure common understanding and clarity of all tools and data to be collected. </w:t>
      </w:r>
    </w:p>
    <w:p w14:paraId="6693E008" w14:textId="77777777" w:rsidR="00212B53" w:rsidRPr="00AD7EBC" w:rsidRDefault="00212B53" w:rsidP="00C21EEA">
      <w:pPr>
        <w:pStyle w:val="BodyText"/>
        <w:spacing w:before="37"/>
        <w:ind w:right="121"/>
        <w:jc w:val="both"/>
        <w:rPr>
          <w:lang w:val="en-GB"/>
        </w:rPr>
      </w:pPr>
    </w:p>
    <w:p w14:paraId="52067E6D" w14:textId="44AC2CD7" w:rsidR="00212B53" w:rsidRPr="00AD7EBC" w:rsidRDefault="00212B53" w:rsidP="00C21EEA">
      <w:pPr>
        <w:pStyle w:val="BodyText"/>
        <w:spacing w:before="37"/>
        <w:ind w:right="121"/>
        <w:jc w:val="both"/>
        <w:rPr>
          <w:lang w:val="en-GB"/>
        </w:rPr>
      </w:pPr>
      <w:r w:rsidRPr="00AD7EBC">
        <w:rPr>
          <w:lang w:val="en-GB"/>
        </w:rPr>
        <w:t xml:space="preserve">Regarding the training for the enumerators and field supervisors, it will be the remit of the external evaluators, once hired, to provide a detailed and comprehensive training. This training will not only consist of presenting and how to use the tools and questions, but also about research ethics, child safeguarding, disability and gender sensitivity when carrying out the evaluation. The project will ensure that the EE and any subcontractors adhere to the GEC policies on these areas by integrating the policies in the contract signed between the project and the EE, and between the EE and </w:t>
      </w:r>
      <w:r w:rsidR="00236603" w:rsidRPr="00AD7EBC">
        <w:rPr>
          <w:lang w:val="en-GB"/>
        </w:rPr>
        <w:t>the subcontractors. One or two project staff will also seek to pa</w:t>
      </w:r>
      <w:r w:rsidR="00C21EEA">
        <w:rPr>
          <w:lang w:val="en-GB"/>
        </w:rPr>
        <w:t>rticipate in the preparation of</w:t>
      </w:r>
      <w:r w:rsidR="00236603" w:rsidRPr="00AD7EBC">
        <w:rPr>
          <w:lang w:val="en-GB"/>
        </w:rPr>
        <w:t xml:space="preserve"> and be present in the training to ensure a full understanding of the project and its context, as well as providing support more broadly to the trainers, and potentially be co-facilitators for the exercise to be delivered well. </w:t>
      </w:r>
      <w:r w:rsidRPr="00AD7EBC">
        <w:rPr>
          <w:lang w:val="en-GB"/>
        </w:rPr>
        <w:t>It is necessary to take</w:t>
      </w:r>
      <w:r w:rsidR="00C21EEA">
        <w:rPr>
          <w:lang w:val="en-GB"/>
        </w:rPr>
        <w:t xml:space="preserve"> time to plan for this training</w:t>
      </w:r>
      <w:r w:rsidRPr="00AD7EBC">
        <w:rPr>
          <w:lang w:val="en-GB"/>
        </w:rPr>
        <w:t xml:space="preserve"> and allow for enough time to ensure that everything wi</w:t>
      </w:r>
      <w:r w:rsidR="00236603" w:rsidRPr="00AD7EBC">
        <w:rPr>
          <w:lang w:val="en-GB"/>
        </w:rPr>
        <w:t>ll</w:t>
      </w:r>
      <w:r w:rsidR="00A72DCD" w:rsidRPr="00AD7EBC">
        <w:rPr>
          <w:lang w:val="en-GB"/>
        </w:rPr>
        <w:t xml:space="preserve"> be covered thoroughly (e.g. 5</w:t>
      </w:r>
      <w:r w:rsidR="00236603" w:rsidRPr="00AD7EBC">
        <w:rPr>
          <w:lang w:val="en-GB"/>
        </w:rPr>
        <w:t xml:space="preserve"> days </w:t>
      </w:r>
      <w:r w:rsidRPr="00AD7EBC">
        <w:rPr>
          <w:lang w:val="en-GB"/>
        </w:rPr>
        <w:t>instead of 3 days) or if there is a need for further clarifications.</w:t>
      </w:r>
    </w:p>
    <w:p w14:paraId="4682CED1" w14:textId="1C410A0D" w:rsidR="007C7D0F" w:rsidRPr="00AD7EBC" w:rsidRDefault="007C7D0F" w:rsidP="007C7D0F">
      <w:pPr>
        <w:pStyle w:val="BodyText"/>
        <w:spacing w:before="9"/>
        <w:rPr>
          <w:sz w:val="20"/>
          <w:lang w:val="en-GB"/>
        </w:rPr>
      </w:pPr>
    </w:p>
    <w:p w14:paraId="17E99C77" w14:textId="4D32A3DB" w:rsidR="00A72DCD" w:rsidRPr="00AD7EBC" w:rsidRDefault="007C7D0F" w:rsidP="00C21EEA">
      <w:pPr>
        <w:pStyle w:val="ListParagraph"/>
        <w:numPr>
          <w:ilvl w:val="1"/>
          <w:numId w:val="4"/>
        </w:numPr>
        <w:tabs>
          <w:tab w:val="left" w:pos="473"/>
        </w:tabs>
        <w:ind w:left="372"/>
        <w:jc w:val="both"/>
        <w:rPr>
          <w:lang w:val="en-GB"/>
        </w:rPr>
      </w:pPr>
      <w:r w:rsidRPr="00AD7EBC">
        <w:rPr>
          <w:color w:val="1F487C"/>
          <w:lang w:val="en-GB"/>
        </w:rPr>
        <w:t>Piloting</w:t>
      </w:r>
    </w:p>
    <w:p w14:paraId="5E25951D" w14:textId="62D65F49" w:rsidR="00A72DCD" w:rsidRPr="00AD7EBC" w:rsidRDefault="00A72DCD" w:rsidP="00C21EEA">
      <w:pPr>
        <w:pStyle w:val="BodyText"/>
        <w:spacing w:before="57"/>
        <w:ind w:right="61"/>
        <w:rPr>
          <w:lang w:val="en-GB"/>
        </w:rPr>
      </w:pPr>
    </w:p>
    <w:p w14:paraId="3E05A7DD" w14:textId="1194F5D8" w:rsidR="00A72DCD" w:rsidRPr="00AD7EBC" w:rsidRDefault="00A72DCD" w:rsidP="00C21EEA">
      <w:pPr>
        <w:pStyle w:val="ListParagraph"/>
        <w:tabs>
          <w:tab w:val="left" w:pos="473"/>
        </w:tabs>
        <w:spacing w:before="57"/>
        <w:ind w:left="0" w:right="61" w:firstLine="0"/>
        <w:jc w:val="both"/>
        <w:rPr>
          <w:lang w:val="en-GB"/>
        </w:rPr>
      </w:pPr>
      <w:r w:rsidRPr="00AD7EBC">
        <w:rPr>
          <w:lang w:val="en-GB"/>
        </w:rPr>
        <w:t xml:space="preserve">Following immediately from the training to the field supervisors and enumerators, there will be 1 or 2 days of testing and piloting the data collection tools and approaches in a nearby community. The project team will facilitate the selection of the pilot community based on their accessibility, and similar characteristics as the project target areas, e.g. girls within the same age range, facing similar barriers and challenges to education, and whose first language isn’t the language of instruction. The evaluators, with potentially one or two key staff from the project, will accompany the field supervisors and enumerators to the site to trial the tools and approaches as if they were in the real communities. During this piloting time, the field supervisors and enumerators will be able to ask all the questions they might have or seek solutions if they encounter any challenges when administering the questionnaire. </w:t>
      </w:r>
    </w:p>
    <w:p w14:paraId="7A05ACB6" w14:textId="77777777" w:rsidR="00A72DCD" w:rsidRPr="00AD7EBC" w:rsidRDefault="00A72DCD" w:rsidP="00A72DCD">
      <w:pPr>
        <w:pStyle w:val="ListParagraph"/>
        <w:tabs>
          <w:tab w:val="left" w:pos="473"/>
        </w:tabs>
        <w:spacing w:before="57"/>
        <w:ind w:left="100" w:right="61" w:firstLine="0"/>
        <w:jc w:val="both"/>
        <w:rPr>
          <w:lang w:val="en-GB"/>
        </w:rPr>
      </w:pPr>
    </w:p>
    <w:p w14:paraId="551266FC" w14:textId="44E90311" w:rsidR="00A72DCD" w:rsidRPr="00AD7EBC" w:rsidRDefault="00A72DCD" w:rsidP="00D0708C">
      <w:pPr>
        <w:pStyle w:val="ListParagraph"/>
        <w:tabs>
          <w:tab w:val="left" w:pos="473"/>
        </w:tabs>
        <w:spacing w:before="57"/>
        <w:ind w:left="100" w:right="61" w:firstLine="0"/>
        <w:jc w:val="both"/>
        <w:rPr>
          <w:lang w:val="en-GB"/>
        </w:rPr>
      </w:pPr>
      <w:r w:rsidRPr="00AD7EBC">
        <w:rPr>
          <w:lang w:val="en-GB"/>
        </w:rPr>
        <w:lastRenderedPageBreak/>
        <w:t>At the end of each day, there will be an after-action review (AAR) where the evaluators</w:t>
      </w:r>
      <w:r w:rsidR="00FB3856" w:rsidRPr="00AD7EBC">
        <w:rPr>
          <w:lang w:val="en-GB"/>
        </w:rPr>
        <w:t xml:space="preserve"> supervisors</w:t>
      </w:r>
      <w:r w:rsidRPr="00AD7EBC">
        <w:rPr>
          <w:lang w:val="en-GB"/>
        </w:rPr>
        <w:t xml:space="preserve"> will gather feedback from the enumerators</w:t>
      </w:r>
      <w:r w:rsidR="00FB3856" w:rsidRPr="00AD7EBC">
        <w:rPr>
          <w:lang w:val="en-GB"/>
        </w:rPr>
        <w:t xml:space="preserve"> and the field supervisors</w:t>
      </w:r>
      <w:r w:rsidRPr="00AD7EBC">
        <w:rPr>
          <w:lang w:val="en-GB"/>
        </w:rPr>
        <w:t xml:space="preserve"> regarding the tools themselves and the </w:t>
      </w:r>
      <w:r w:rsidR="00FB3856" w:rsidRPr="00AD7EBC">
        <w:rPr>
          <w:lang w:val="en-GB"/>
        </w:rPr>
        <w:t xml:space="preserve">data collection approaches. The evaluators and a couple of project staff </w:t>
      </w:r>
      <w:r w:rsidRPr="00AD7EBC">
        <w:rPr>
          <w:lang w:val="en-GB"/>
        </w:rPr>
        <w:t>will also be there to answer any question the data collection team might have</w:t>
      </w:r>
      <w:r w:rsidR="00FB3856" w:rsidRPr="00AD7EBC">
        <w:rPr>
          <w:lang w:val="en-GB"/>
        </w:rPr>
        <w:t xml:space="preserve"> and facilitate the process</w:t>
      </w:r>
      <w:r w:rsidRPr="00AD7EBC">
        <w:rPr>
          <w:lang w:val="en-GB"/>
        </w:rPr>
        <w:t xml:space="preserve">. </w:t>
      </w:r>
      <w:r w:rsidR="00FB3856" w:rsidRPr="00AD7EBC">
        <w:rPr>
          <w:lang w:val="en-GB"/>
        </w:rPr>
        <w:t>The project suggests that the external evaluators allow for some time after the piloting stage (e.g. 1-3 days) to use the feedback and suggestions to feed back into the design, and make adjustments and improvements where needed to the data collection tools and approaches.</w:t>
      </w:r>
    </w:p>
    <w:p w14:paraId="3639F707" w14:textId="77777777" w:rsidR="007C7D0F" w:rsidRPr="00AD7EBC" w:rsidRDefault="007C7D0F" w:rsidP="007C7D0F">
      <w:pPr>
        <w:pStyle w:val="BodyText"/>
        <w:spacing w:before="11"/>
        <w:rPr>
          <w:sz w:val="20"/>
          <w:lang w:val="en-GB"/>
        </w:rPr>
      </w:pPr>
    </w:p>
    <w:p w14:paraId="68C69F35" w14:textId="77777777" w:rsidR="007C7D0F" w:rsidRPr="00AD7EBC" w:rsidRDefault="007C7D0F" w:rsidP="007C7D0F">
      <w:pPr>
        <w:pStyle w:val="ListParagraph"/>
        <w:numPr>
          <w:ilvl w:val="1"/>
          <w:numId w:val="4"/>
        </w:numPr>
        <w:tabs>
          <w:tab w:val="left" w:pos="473"/>
        </w:tabs>
        <w:jc w:val="both"/>
        <w:rPr>
          <w:lang w:val="en-GB"/>
        </w:rPr>
      </w:pPr>
      <w:r w:rsidRPr="00AD7EBC">
        <w:rPr>
          <w:color w:val="1F487C"/>
          <w:lang w:val="en-GB"/>
        </w:rPr>
        <w:t>Data cleaning and</w:t>
      </w:r>
      <w:r w:rsidRPr="00AD7EBC">
        <w:rPr>
          <w:color w:val="1F487C"/>
          <w:spacing w:val="-7"/>
          <w:lang w:val="en-GB"/>
        </w:rPr>
        <w:t xml:space="preserve"> </w:t>
      </w:r>
      <w:r w:rsidRPr="00AD7EBC">
        <w:rPr>
          <w:color w:val="1F487C"/>
          <w:lang w:val="en-GB"/>
        </w:rPr>
        <w:t>editing</w:t>
      </w:r>
    </w:p>
    <w:p w14:paraId="15B20E1F" w14:textId="106275C6" w:rsidR="00D0708C" w:rsidRPr="00AD7EBC" w:rsidRDefault="00D0708C" w:rsidP="00910C5C">
      <w:pPr>
        <w:pStyle w:val="BodyText"/>
        <w:spacing w:before="37"/>
        <w:ind w:right="46"/>
        <w:rPr>
          <w:lang w:val="en-GB"/>
        </w:rPr>
      </w:pPr>
    </w:p>
    <w:p w14:paraId="75FED3EB" w14:textId="4774A791" w:rsidR="00D0708C" w:rsidRDefault="00D0708C" w:rsidP="00D0708C">
      <w:pPr>
        <w:pStyle w:val="BodyText"/>
        <w:spacing w:before="37"/>
        <w:ind w:left="100" w:right="46"/>
        <w:jc w:val="both"/>
        <w:rPr>
          <w:lang w:val="en-GB"/>
        </w:rPr>
      </w:pPr>
      <w:r w:rsidRPr="00AD7EBC">
        <w:rPr>
          <w:lang w:val="en-GB"/>
        </w:rPr>
        <w:t>As part of the main deliverables, the external evaluators are required to provide a clean master dataset of raw data to the project team. Ideally, there will be enough time for the SCUK team to have one of their Economists to go over the dataset and run some analysis to ensure that the results found match the results from the evaluators. Any data that is deemed very sensitive and need to remain anonymous will be sanitized. This way, the children’ personal information or sensitive data related to GBV for instance wil</w:t>
      </w:r>
      <w:r w:rsidR="00C21EEA">
        <w:rPr>
          <w:lang w:val="en-GB"/>
        </w:rPr>
        <w:t>l not necessarily be accessible</w:t>
      </w:r>
      <w:r w:rsidRPr="00AD7EBC">
        <w:rPr>
          <w:lang w:val="en-GB"/>
        </w:rPr>
        <w:t xml:space="preserve"> or linked to a specific child. Any dataset required by the FM will first be cleaned by the external evaluators, then checked by the project team, before submitting it to the FM. To ensure the anonymity of participants, the main data set will not include personal information attached to survey or learning responses. Instead, the project will employ a reference system based on unique IDs to connect participant results to personal information in separate, password-protected, and secured file.</w:t>
      </w:r>
    </w:p>
    <w:p w14:paraId="1D637AC8" w14:textId="0C6A0FD2" w:rsidR="00910C5C" w:rsidRDefault="00910C5C">
      <w:pPr>
        <w:widowControl/>
        <w:spacing w:after="160" w:line="259" w:lineRule="auto"/>
        <w:rPr>
          <w:lang w:val="en-GB"/>
        </w:rPr>
      </w:pPr>
      <w:r>
        <w:rPr>
          <w:lang w:val="en-GB"/>
        </w:rPr>
        <w:br w:type="page"/>
      </w:r>
    </w:p>
    <w:p w14:paraId="5BED9180" w14:textId="77777777" w:rsidR="00910C5C" w:rsidRPr="00AD7EBC" w:rsidRDefault="00910C5C" w:rsidP="00D0708C">
      <w:pPr>
        <w:pStyle w:val="BodyText"/>
        <w:spacing w:before="37"/>
        <w:ind w:left="100" w:right="46"/>
        <w:jc w:val="both"/>
        <w:rPr>
          <w:lang w:val="en-GB"/>
        </w:rPr>
      </w:pPr>
    </w:p>
    <w:p w14:paraId="4C43DCA2" w14:textId="09A3018B" w:rsidR="007C7D0F" w:rsidRPr="00910C5C" w:rsidRDefault="007C7D0F" w:rsidP="00C21EEA">
      <w:pPr>
        <w:pStyle w:val="Heading2"/>
        <w:rPr>
          <w:color w:val="auto"/>
        </w:rPr>
      </w:pPr>
      <w:bookmarkStart w:id="11" w:name="_Toc506203084"/>
      <w:r w:rsidRPr="00AD7EBC">
        <w:t>Risks and risk management</w:t>
      </w:r>
      <w:bookmarkEnd w:id="11"/>
      <w:r w:rsidRPr="00AD7EBC">
        <w:t xml:space="preserve"> </w:t>
      </w:r>
    </w:p>
    <w:p w14:paraId="4D7EE07A" w14:textId="77777777" w:rsidR="00910C5C" w:rsidRPr="00910C5C" w:rsidRDefault="00910C5C" w:rsidP="00910C5C">
      <w:pPr>
        <w:tabs>
          <w:tab w:val="left" w:pos="461"/>
        </w:tabs>
        <w:jc w:val="both"/>
        <w:rPr>
          <w:b/>
          <w:lang w:val="en-GB"/>
        </w:rPr>
      </w:pPr>
    </w:p>
    <w:p w14:paraId="00B090A1" w14:textId="7B29B21D" w:rsidR="00661C3B" w:rsidRPr="00910C5C" w:rsidRDefault="007C7D0F" w:rsidP="00B1149C">
      <w:pPr>
        <w:pStyle w:val="BodyText"/>
        <w:spacing w:line="468" w:lineRule="auto"/>
        <w:ind w:left="100" w:right="3934"/>
        <w:rPr>
          <w:i/>
          <w:lang w:val="en-GB"/>
        </w:rPr>
      </w:pPr>
      <w:r w:rsidRPr="00910C5C">
        <w:rPr>
          <w:i/>
          <w:lang w:val="en-GB"/>
        </w:rPr>
        <w:t>Table 4: Risks and mitigations</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1701"/>
        <w:gridCol w:w="1559"/>
        <w:gridCol w:w="3053"/>
      </w:tblGrid>
      <w:tr w:rsidR="00B1149C" w:rsidRPr="00AD7EBC" w14:paraId="098FF44B" w14:textId="77777777" w:rsidTr="009542F2">
        <w:trPr>
          <w:trHeight w:hRule="exact" w:val="1721"/>
          <w:tblHeader/>
        </w:trPr>
        <w:tc>
          <w:tcPr>
            <w:tcW w:w="2552" w:type="dxa"/>
            <w:shd w:val="clear" w:color="auto" w:fill="DEEAF6" w:themeFill="accent5" w:themeFillTint="33"/>
          </w:tcPr>
          <w:p w14:paraId="06D570D3" w14:textId="77777777" w:rsidR="00B1149C" w:rsidRPr="00AD7EBC" w:rsidRDefault="00B1149C" w:rsidP="00B1149C">
            <w:pPr>
              <w:pStyle w:val="TableParagraph"/>
              <w:spacing w:line="248" w:lineRule="exact"/>
              <w:ind w:left="147" w:right="120"/>
              <w:jc w:val="both"/>
              <w:rPr>
                <w:b/>
                <w:lang w:val="en-GB"/>
              </w:rPr>
            </w:pPr>
            <w:r w:rsidRPr="00AD7EBC">
              <w:rPr>
                <w:b/>
                <w:lang w:val="en-GB"/>
              </w:rPr>
              <w:t>Potential risks</w:t>
            </w:r>
          </w:p>
        </w:tc>
        <w:tc>
          <w:tcPr>
            <w:tcW w:w="1701" w:type="dxa"/>
            <w:shd w:val="clear" w:color="auto" w:fill="DEEAF6" w:themeFill="accent5" w:themeFillTint="33"/>
          </w:tcPr>
          <w:p w14:paraId="4555F88A" w14:textId="77777777" w:rsidR="00B1149C" w:rsidRPr="00AD7EBC" w:rsidRDefault="00B1149C" w:rsidP="00B1149C">
            <w:pPr>
              <w:pStyle w:val="TableParagraph"/>
              <w:ind w:left="147" w:right="120" w:hanging="3"/>
              <w:jc w:val="both"/>
              <w:rPr>
                <w:b/>
                <w:lang w:val="en-GB"/>
              </w:rPr>
            </w:pPr>
            <w:r w:rsidRPr="00AD7EBC">
              <w:rPr>
                <w:b/>
                <w:lang w:val="en-GB"/>
              </w:rPr>
              <w:t>Probability of risk occurring over the course of the project</w:t>
            </w:r>
          </w:p>
        </w:tc>
        <w:tc>
          <w:tcPr>
            <w:tcW w:w="1559" w:type="dxa"/>
            <w:shd w:val="clear" w:color="auto" w:fill="DEEAF6" w:themeFill="accent5" w:themeFillTint="33"/>
          </w:tcPr>
          <w:p w14:paraId="0E2C8E38" w14:textId="77777777" w:rsidR="00B1149C" w:rsidRPr="00AD7EBC" w:rsidRDefault="00B1149C" w:rsidP="00B1149C">
            <w:pPr>
              <w:pStyle w:val="TableParagraph"/>
              <w:spacing w:line="252" w:lineRule="exact"/>
              <w:ind w:left="147" w:right="120" w:hanging="94"/>
              <w:jc w:val="both"/>
              <w:rPr>
                <w:b/>
                <w:lang w:val="en-GB"/>
              </w:rPr>
            </w:pPr>
            <w:r w:rsidRPr="00AD7EBC">
              <w:rPr>
                <w:b/>
                <w:lang w:val="en-GB"/>
              </w:rPr>
              <w:t>Potential impact on project’s success</w:t>
            </w:r>
          </w:p>
        </w:tc>
        <w:tc>
          <w:tcPr>
            <w:tcW w:w="3053" w:type="dxa"/>
            <w:shd w:val="clear" w:color="auto" w:fill="DEEAF6" w:themeFill="accent5" w:themeFillTint="33"/>
          </w:tcPr>
          <w:p w14:paraId="5E58A3C7" w14:textId="77777777" w:rsidR="00B1149C" w:rsidRPr="00AD7EBC" w:rsidRDefault="00B1149C" w:rsidP="00B1149C">
            <w:pPr>
              <w:pStyle w:val="TableParagraph"/>
              <w:ind w:left="147" w:right="120" w:hanging="5"/>
              <w:jc w:val="both"/>
              <w:rPr>
                <w:b/>
                <w:lang w:val="en-GB"/>
              </w:rPr>
            </w:pPr>
            <w:r w:rsidRPr="00AD7EBC">
              <w:rPr>
                <w:b/>
                <w:lang w:val="en-GB"/>
              </w:rPr>
              <w:t>Proposed actions to mitigate risks that have both significant probability and impact/importance</w:t>
            </w:r>
          </w:p>
        </w:tc>
      </w:tr>
      <w:tr w:rsidR="00B1149C" w:rsidRPr="00AD7EBC" w14:paraId="0580E0D7" w14:textId="77777777" w:rsidTr="00B1149C">
        <w:trPr>
          <w:trHeight w:hRule="exact" w:val="1986"/>
        </w:trPr>
        <w:tc>
          <w:tcPr>
            <w:tcW w:w="2552" w:type="dxa"/>
          </w:tcPr>
          <w:p w14:paraId="729BA368" w14:textId="77777777" w:rsidR="00B1149C" w:rsidRPr="00AD7EBC" w:rsidRDefault="00B1149C" w:rsidP="00B1149C">
            <w:pPr>
              <w:ind w:left="147" w:right="120"/>
              <w:rPr>
                <w:lang w:val="en-GB"/>
              </w:rPr>
            </w:pPr>
            <w:r w:rsidRPr="00AD7EBC">
              <w:rPr>
                <w:lang w:val="en-GB"/>
              </w:rPr>
              <w:t>Slow release of funds to implementing partners due to slow financial procedures or long process</w:t>
            </w:r>
          </w:p>
        </w:tc>
        <w:tc>
          <w:tcPr>
            <w:tcW w:w="1701" w:type="dxa"/>
          </w:tcPr>
          <w:p w14:paraId="57D8B588" w14:textId="77777777" w:rsidR="00B1149C" w:rsidRPr="00AD7EBC" w:rsidRDefault="00B1149C" w:rsidP="00B1149C">
            <w:pPr>
              <w:ind w:left="147" w:right="120"/>
              <w:rPr>
                <w:lang w:val="en-GB"/>
              </w:rPr>
            </w:pPr>
            <w:r w:rsidRPr="00AD7EBC">
              <w:rPr>
                <w:lang w:val="en-GB"/>
              </w:rPr>
              <w:t>Medium</w:t>
            </w:r>
          </w:p>
        </w:tc>
        <w:tc>
          <w:tcPr>
            <w:tcW w:w="1559" w:type="dxa"/>
          </w:tcPr>
          <w:p w14:paraId="2FB8F9D9" w14:textId="77777777" w:rsidR="00B1149C" w:rsidRPr="00AD7EBC" w:rsidRDefault="00B1149C" w:rsidP="00B1149C">
            <w:pPr>
              <w:ind w:left="147" w:right="120"/>
              <w:rPr>
                <w:lang w:val="en-GB"/>
              </w:rPr>
            </w:pPr>
            <w:r w:rsidRPr="00AD7EBC">
              <w:rPr>
                <w:lang w:val="en-GB"/>
              </w:rPr>
              <w:t>Medium</w:t>
            </w:r>
          </w:p>
        </w:tc>
        <w:tc>
          <w:tcPr>
            <w:tcW w:w="3053" w:type="dxa"/>
          </w:tcPr>
          <w:p w14:paraId="6655D2B2" w14:textId="23D54573" w:rsidR="00B1149C" w:rsidRPr="00AD7EBC" w:rsidRDefault="00B1149C" w:rsidP="00B1149C">
            <w:pPr>
              <w:ind w:left="147" w:right="120"/>
              <w:rPr>
                <w:lang w:val="en-GB"/>
              </w:rPr>
            </w:pPr>
            <w:r w:rsidRPr="00AD7EBC">
              <w:rPr>
                <w:lang w:val="en-GB"/>
              </w:rPr>
              <w:t>Define efficient ways of workin</w:t>
            </w:r>
            <w:r w:rsidR="00910C5C">
              <w:rPr>
                <w:lang w:val="en-GB"/>
              </w:rPr>
              <w:t>g between different departments</w:t>
            </w:r>
            <w:r w:rsidRPr="00AD7EBC">
              <w:rPr>
                <w:lang w:val="en-GB"/>
              </w:rPr>
              <w:t xml:space="preserve"> and share common workplan with all departments to allow for effective planning and synergy between teams.</w:t>
            </w:r>
          </w:p>
        </w:tc>
      </w:tr>
      <w:tr w:rsidR="00B1149C" w:rsidRPr="00AD7EBC" w14:paraId="62B25839" w14:textId="77777777" w:rsidTr="00B1149C">
        <w:trPr>
          <w:trHeight w:hRule="exact" w:val="3532"/>
        </w:trPr>
        <w:tc>
          <w:tcPr>
            <w:tcW w:w="2552" w:type="dxa"/>
          </w:tcPr>
          <w:p w14:paraId="3C3E5A58" w14:textId="77777777" w:rsidR="00B1149C" w:rsidRPr="00AD7EBC" w:rsidRDefault="00B1149C" w:rsidP="00B1149C">
            <w:pPr>
              <w:ind w:left="147" w:right="120"/>
              <w:rPr>
                <w:lang w:val="en-GB"/>
              </w:rPr>
            </w:pPr>
            <w:r w:rsidRPr="00AD7EBC">
              <w:rPr>
                <w:lang w:val="en-GB"/>
              </w:rPr>
              <w:t>Bad quality data when collecting from another structure (e.g. school attendance register)</w:t>
            </w:r>
          </w:p>
        </w:tc>
        <w:tc>
          <w:tcPr>
            <w:tcW w:w="1701" w:type="dxa"/>
          </w:tcPr>
          <w:p w14:paraId="3F1CAB53" w14:textId="77777777" w:rsidR="00B1149C" w:rsidRPr="00AD7EBC" w:rsidRDefault="00B1149C" w:rsidP="00B1149C">
            <w:pPr>
              <w:ind w:left="147" w:right="120"/>
              <w:rPr>
                <w:lang w:val="en-GB"/>
              </w:rPr>
            </w:pPr>
            <w:r w:rsidRPr="00AD7EBC">
              <w:rPr>
                <w:lang w:val="en-GB"/>
              </w:rPr>
              <w:t>Medium</w:t>
            </w:r>
          </w:p>
        </w:tc>
        <w:tc>
          <w:tcPr>
            <w:tcW w:w="1559" w:type="dxa"/>
          </w:tcPr>
          <w:p w14:paraId="49E56253" w14:textId="77777777" w:rsidR="00B1149C" w:rsidRPr="00AD7EBC" w:rsidRDefault="00B1149C" w:rsidP="00B1149C">
            <w:pPr>
              <w:ind w:left="147" w:right="120"/>
              <w:rPr>
                <w:lang w:val="en-GB"/>
              </w:rPr>
            </w:pPr>
            <w:r w:rsidRPr="00AD7EBC">
              <w:rPr>
                <w:lang w:val="en-GB"/>
              </w:rPr>
              <w:t>Medium</w:t>
            </w:r>
          </w:p>
        </w:tc>
        <w:tc>
          <w:tcPr>
            <w:tcW w:w="3053" w:type="dxa"/>
          </w:tcPr>
          <w:p w14:paraId="7FF9D574" w14:textId="77777777" w:rsidR="00B1149C" w:rsidRPr="00AD7EBC" w:rsidRDefault="00B1149C" w:rsidP="00B1149C">
            <w:pPr>
              <w:ind w:left="147" w:right="120"/>
              <w:rPr>
                <w:lang w:val="en-GB"/>
              </w:rPr>
            </w:pPr>
            <w:r w:rsidRPr="00AD7EBC">
              <w:rPr>
                <w:lang w:val="en-GB"/>
              </w:rPr>
              <w:t>For attendance data, the project will add as a monitoring requirement to collect attendance data on a regular basis to improve accuracy.</w:t>
            </w:r>
          </w:p>
          <w:p w14:paraId="2E7EB209" w14:textId="77777777" w:rsidR="00B1149C" w:rsidRPr="00AD7EBC" w:rsidRDefault="00B1149C" w:rsidP="00B1149C">
            <w:pPr>
              <w:ind w:left="147" w:right="120"/>
              <w:rPr>
                <w:lang w:val="en-GB"/>
              </w:rPr>
            </w:pPr>
            <w:r w:rsidRPr="00AD7EBC">
              <w:rPr>
                <w:lang w:val="en-GB"/>
              </w:rPr>
              <w:t xml:space="preserve">Put in place cross-checking process to triangulate data collected from a different structure and data collected from the project or evaluators. </w:t>
            </w:r>
          </w:p>
          <w:p w14:paraId="4D80D684" w14:textId="77777777" w:rsidR="00B1149C" w:rsidRPr="00AD7EBC" w:rsidRDefault="00B1149C" w:rsidP="00B1149C">
            <w:pPr>
              <w:ind w:left="147" w:right="120"/>
              <w:rPr>
                <w:lang w:val="en-GB"/>
              </w:rPr>
            </w:pPr>
            <w:r w:rsidRPr="00AD7EBC">
              <w:rPr>
                <w:lang w:val="en-GB"/>
              </w:rPr>
              <w:t>Use existing secondary data to double-check.</w:t>
            </w:r>
          </w:p>
        </w:tc>
      </w:tr>
      <w:tr w:rsidR="00B1149C" w:rsidRPr="00AD7EBC" w14:paraId="24A0ED5D" w14:textId="77777777" w:rsidTr="00B1149C">
        <w:trPr>
          <w:trHeight w:hRule="exact" w:val="3409"/>
        </w:trPr>
        <w:tc>
          <w:tcPr>
            <w:tcW w:w="2552" w:type="dxa"/>
          </w:tcPr>
          <w:p w14:paraId="6EEF6D7A" w14:textId="4F3F3DD7" w:rsidR="00B1149C" w:rsidRPr="00AD7EBC" w:rsidRDefault="00B1149C" w:rsidP="00B1149C">
            <w:pPr>
              <w:ind w:left="147" w:right="120"/>
              <w:rPr>
                <w:lang w:val="en-GB"/>
              </w:rPr>
            </w:pPr>
            <w:r w:rsidRPr="00AD7EBC">
              <w:rPr>
                <w:lang w:val="en-GB"/>
              </w:rPr>
              <w:t>Control groups could be contaminated from project’s interventions as control areas might be geographically close to treatment areas and other projects are active in the control areas</w:t>
            </w:r>
          </w:p>
        </w:tc>
        <w:tc>
          <w:tcPr>
            <w:tcW w:w="1701" w:type="dxa"/>
          </w:tcPr>
          <w:p w14:paraId="7247DB4D" w14:textId="339A59B0" w:rsidR="00B1149C" w:rsidRPr="00AD7EBC" w:rsidRDefault="00B1149C" w:rsidP="00B1149C">
            <w:pPr>
              <w:ind w:left="147" w:right="120"/>
              <w:rPr>
                <w:lang w:val="en-GB"/>
              </w:rPr>
            </w:pPr>
            <w:r w:rsidRPr="00AD7EBC">
              <w:rPr>
                <w:lang w:val="en-GB"/>
              </w:rPr>
              <w:t>High</w:t>
            </w:r>
          </w:p>
        </w:tc>
        <w:tc>
          <w:tcPr>
            <w:tcW w:w="1559" w:type="dxa"/>
          </w:tcPr>
          <w:p w14:paraId="49B50E16" w14:textId="6EC74B22" w:rsidR="00B1149C" w:rsidRPr="00AD7EBC" w:rsidRDefault="00B1149C" w:rsidP="00B1149C">
            <w:pPr>
              <w:ind w:left="147" w:right="120"/>
              <w:rPr>
                <w:lang w:val="en-GB"/>
              </w:rPr>
            </w:pPr>
            <w:r w:rsidRPr="00AD7EBC">
              <w:rPr>
                <w:lang w:val="en-GB"/>
              </w:rPr>
              <w:t>Medium</w:t>
            </w:r>
          </w:p>
        </w:tc>
        <w:tc>
          <w:tcPr>
            <w:tcW w:w="3053" w:type="dxa"/>
          </w:tcPr>
          <w:p w14:paraId="41EA383C" w14:textId="77777777" w:rsidR="00B1149C" w:rsidRPr="00AD7EBC" w:rsidRDefault="00B1149C" w:rsidP="00B1149C">
            <w:pPr>
              <w:ind w:left="147" w:right="120"/>
              <w:rPr>
                <w:lang w:val="en-GB"/>
              </w:rPr>
            </w:pPr>
            <w:r w:rsidRPr="00AD7EBC">
              <w:rPr>
                <w:lang w:val="en-GB"/>
              </w:rPr>
              <w:t>When choosing control groups, purposively select control schools and communities far (if possible) from treatment schools and communities.</w:t>
            </w:r>
          </w:p>
          <w:p w14:paraId="517C3242" w14:textId="7051A30F" w:rsidR="00B1149C" w:rsidRPr="00AD7EBC" w:rsidRDefault="00B1149C" w:rsidP="00B1149C">
            <w:pPr>
              <w:ind w:left="147" w:right="120"/>
              <w:rPr>
                <w:lang w:val="en-GB"/>
              </w:rPr>
            </w:pPr>
            <w:r w:rsidRPr="00AD7EBC">
              <w:rPr>
                <w:lang w:val="en-GB"/>
              </w:rPr>
              <w:t xml:space="preserve">Being aware of this risk, the project and evaluators can control this factor when </w:t>
            </w:r>
            <w:r w:rsidR="00910C5C" w:rsidRPr="00AD7EBC">
              <w:rPr>
                <w:lang w:val="en-GB"/>
              </w:rPr>
              <w:t>analysing</w:t>
            </w:r>
            <w:r w:rsidRPr="00AD7EBC">
              <w:rPr>
                <w:lang w:val="en-GB"/>
              </w:rPr>
              <w:t xml:space="preserve"> the data. Also correct for interventions by other </w:t>
            </w:r>
            <w:r w:rsidR="00910C5C" w:rsidRPr="00AD7EBC">
              <w:rPr>
                <w:lang w:val="en-GB"/>
              </w:rPr>
              <w:t>projects</w:t>
            </w:r>
            <w:r w:rsidRPr="00AD7EBC">
              <w:rPr>
                <w:lang w:val="en-GB"/>
              </w:rPr>
              <w:t xml:space="preserve"> such as ACCELERE</w:t>
            </w:r>
          </w:p>
        </w:tc>
      </w:tr>
      <w:tr w:rsidR="009542F2" w:rsidRPr="00AD7EBC" w14:paraId="56D54FC4" w14:textId="77777777" w:rsidTr="00B1149C">
        <w:trPr>
          <w:trHeight w:hRule="exact" w:val="2708"/>
        </w:trPr>
        <w:tc>
          <w:tcPr>
            <w:tcW w:w="2552" w:type="dxa"/>
          </w:tcPr>
          <w:p w14:paraId="69986D27" w14:textId="52BB2E28" w:rsidR="009542F2" w:rsidRPr="00AD7EBC" w:rsidRDefault="009542F2" w:rsidP="00B1149C">
            <w:pPr>
              <w:ind w:left="147" w:right="120"/>
              <w:rPr>
                <w:lang w:val="en-GB"/>
              </w:rPr>
            </w:pPr>
            <w:r>
              <w:rPr>
                <w:lang w:val="en-GB"/>
              </w:rPr>
              <w:lastRenderedPageBreak/>
              <w:t>Interventions from other projects which benefit schools we are also supporting make identifying our contribution more difficult</w:t>
            </w:r>
          </w:p>
        </w:tc>
        <w:tc>
          <w:tcPr>
            <w:tcW w:w="1701" w:type="dxa"/>
          </w:tcPr>
          <w:p w14:paraId="17A0677C" w14:textId="33F383AD" w:rsidR="009542F2" w:rsidRPr="00AD7EBC" w:rsidRDefault="009542F2" w:rsidP="00B1149C">
            <w:pPr>
              <w:ind w:left="147" w:right="120"/>
              <w:rPr>
                <w:lang w:val="en-GB"/>
              </w:rPr>
            </w:pPr>
            <w:r>
              <w:rPr>
                <w:lang w:val="en-GB"/>
              </w:rPr>
              <w:t>Medium</w:t>
            </w:r>
          </w:p>
        </w:tc>
        <w:tc>
          <w:tcPr>
            <w:tcW w:w="1559" w:type="dxa"/>
          </w:tcPr>
          <w:p w14:paraId="7FAEAC40" w14:textId="35018DFC" w:rsidR="009542F2" w:rsidRPr="00AD7EBC" w:rsidRDefault="009542F2" w:rsidP="00B1149C">
            <w:pPr>
              <w:ind w:left="147" w:right="120"/>
              <w:rPr>
                <w:lang w:val="en-GB"/>
              </w:rPr>
            </w:pPr>
            <w:r>
              <w:rPr>
                <w:lang w:val="en-GB"/>
              </w:rPr>
              <w:t>Low</w:t>
            </w:r>
          </w:p>
        </w:tc>
        <w:tc>
          <w:tcPr>
            <w:tcW w:w="3053" w:type="dxa"/>
          </w:tcPr>
          <w:p w14:paraId="6B1319E5" w14:textId="1B3A8DCA" w:rsidR="009542F2" w:rsidRPr="00AD7EBC" w:rsidRDefault="009542F2" w:rsidP="00B1149C">
            <w:pPr>
              <w:ind w:left="147" w:right="120"/>
              <w:rPr>
                <w:lang w:val="en-GB"/>
              </w:rPr>
            </w:pPr>
            <w:r>
              <w:rPr>
                <w:lang w:val="en-GB"/>
              </w:rPr>
              <w:t xml:space="preserve">We ask all schools if other projects are supporting them, and will share that data with the External Evaluator so they can factor this in to their analysis of our contribution </w:t>
            </w:r>
          </w:p>
        </w:tc>
      </w:tr>
      <w:tr w:rsidR="00B1149C" w:rsidRPr="00AD7EBC" w14:paraId="0B780717" w14:textId="77777777" w:rsidTr="00B1149C">
        <w:trPr>
          <w:trHeight w:hRule="exact" w:val="2708"/>
        </w:trPr>
        <w:tc>
          <w:tcPr>
            <w:tcW w:w="2552" w:type="dxa"/>
          </w:tcPr>
          <w:p w14:paraId="4CBEC507" w14:textId="6920B4D4" w:rsidR="00B1149C" w:rsidRPr="00AD7EBC" w:rsidRDefault="00B1149C" w:rsidP="00B1149C">
            <w:pPr>
              <w:ind w:left="147" w:right="120"/>
              <w:rPr>
                <w:lang w:val="en-GB"/>
              </w:rPr>
            </w:pPr>
            <w:r w:rsidRPr="00AD7EBC">
              <w:rPr>
                <w:lang w:val="en-GB"/>
              </w:rPr>
              <w:t xml:space="preserve">Staff turnover </w:t>
            </w:r>
          </w:p>
        </w:tc>
        <w:tc>
          <w:tcPr>
            <w:tcW w:w="1701" w:type="dxa"/>
          </w:tcPr>
          <w:p w14:paraId="4D9978E1" w14:textId="77777777" w:rsidR="00B1149C" w:rsidRPr="00AD7EBC" w:rsidRDefault="00B1149C" w:rsidP="00B1149C">
            <w:pPr>
              <w:ind w:left="147" w:right="120"/>
              <w:rPr>
                <w:lang w:val="en-GB"/>
              </w:rPr>
            </w:pPr>
            <w:r w:rsidRPr="00AD7EBC">
              <w:rPr>
                <w:lang w:val="en-GB"/>
              </w:rPr>
              <w:t>High</w:t>
            </w:r>
          </w:p>
        </w:tc>
        <w:tc>
          <w:tcPr>
            <w:tcW w:w="1559" w:type="dxa"/>
          </w:tcPr>
          <w:p w14:paraId="13BF39B1" w14:textId="77777777" w:rsidR="00B1149C" w:rsidRPr="00AD7EBC" w:rsidRDefault="00B1149C" w:rsidP="00B1149C">
            <w:pPr>
              <w:ind w:left="147" w:right="120"/>
              <w:rPr>
                <w:lang w:val="en-GB"/>
              </w:rPr>
            </w:pPr>
            <w:r w:rsidRPr="00AD7EBC">
              <w:rPr>
                <w:lang w:val="en-GB"/>
              </w:rPr>
              <w:t>High</w:t>
            </w:r>
          </w:p>
        </w:tc>
        <w:tc>
          <w:tcPr>
            <w:tcW w:w="3053" w:type="dxa"/>
          </w:tcPr>
          <w:p w14:paraId="2A14E8A2" w14:textId="77777777" w:rsidR="00B1149C" w:rsidRPr="00AD7EBC" w:rsidRDefault="00B1149C" w:rsidP="00B1149C">
            <w:pPr>
              <w:ind w:left="147" w:right="120"/>
              <w:rPr>
                <w:lang w:val="en-GB"/>
              </w:rPr>
            </w:pPr>
            <w:r w:rsidRPr="00AD7EBC">
              <w:rPr>
                <w:lang w:val="en-GB"/>
              </w:rPr>
              <w:t xml:space="preserve">Working with HR to set up an efficient handover period and/or documents. </w:t>
            </w:r>
          </w:p>
          <w:p w14:paraId="7F2D6491" w14:textId="45F830B9" w:rsidR="00B1149C" w:rsidRPr="00AD7EBC" w:rsidRDefault="00B1149C" w:rsidP="00B1149C">
            <w:pPr>
              <w:ind w:left="147" w:right="120"/>
              <w:rPr>
                <w:lang w:val="en-GB"/>
              </w:rPr>
            </w:pPr>
            <w:r w:rsidRPr="00AD7EBC">
              <w:rPr>
                <w:lang w:val="en-GB"/>
              </w:rPr>
              <w:t>Each new starter will have a tailored induction phase, including trainings if necessary. Other staff ca</w:t>
            </w:r>
            <w:r w:rsidR="00910C5C">
              <w:rPr>
                <w:lang w:val="en-GB"/>
              </w:rPr>
              <w:t>n also benefit from a refresher</w:t>
            </w:r>
            <w:r w:rsidRPr="00AD7EBC">
              <w:rPr>
                <w:lang w:val="en-GB"/>
              </w:rPr>
              <w:t xml:space="preserve"> and encouraging peer support.</w:t>
            </w:r>
          </w:p>
        </w:tc>
      </w:tr>
      <w:tr w:rsidR="00B1149C" w:rsidRPr="00AD7EBC" w14:paraId="0172A069" w14:textId="77777777" w:rsidTr="00B1149C">
        <w:trPr>
          <w:trHeight w:hRule="exact" w:val="2547"/>
        </w:trPr>
        <w:tc>
          <w:tcPr>
            <w:tcW w:w="2552" w:type="dxa"/>
          </w:tcPr>
          <w:p w14:paraId="16B4ACF0" w14:textId="77777777" w:rsidR="00B1149C" w:rsidRPr="00AD7EBC" w:rsidRDefault="00B1149C" w:rsidP="00B1149C">
            <w:pPr>
              <w:ind w:left="147" w:right="120"/>
              <w:rPr>
                <w:lang w:val="en-GB"/>
              </w:rPr>
            </w:pPr>
            <w:r w:rsidRPr="00AD7EBC">
              <w:rPr>
                <w:lang w:val="en-GB"/>
              </w:rPr>
              <w:t xml:space="preserve">Attrition rate could turn out higher than expected </w:t>
            </w:r>
          </w:p>
        </w:tc>
        <w:tc>
          <w:tcPr>
            <w:tcW w:w="1701" w:type="dxa"/>
          </w:tcPr>
          <w:p w14:paraId="2C5B33C7" w14:textId="5A0C1B70" w:rsidR="00B1149C" w:rsidRPr="00AD7EBC" w:rsidRDefault="000B70EA" w:rsidP="00B1149C">
            <w:pPr>
              <w:ind w:left="147" w:right="120"/>
              <w:rPr>
                <w:lang w:val="en-GB"/>
              </w:rPr>
            </w:pPr>
            <w:r w:rsidRPr="00AD7EBC">
              <w:rPr>
                <w:lang w:val="en-GB"/>
              </w:rPr>
              <w:t>High</w:t>
            </w:r>
          </w:p>
        </w:tc>
        <w:tc>
          <w:tcPr>
            <w:tcW w:w="1559" w:type="dxa"/>
          </w:tcPr>
          <w:p w14:paraId="41DE22CC" w14:textId="77777777" w:rsidR="00B1149C" w:rsidRPr="00AD7EBC" w:rsidRDefault="00B1149C" w:rsidP="00B1149C">
            <w:pPr>
              <w:ind w:left="147" w:right="120"/>
              <w:rPr>
                <w:lang w:val="en-GB"/>
              </w:rPr>
            </w:pPr>
            <w:r w:rsidRPr="00AD7EBC">
              <w:rPr>
                <w:lang w:val="en-GB"/>
              </w:rPr>
              <w:t>Medium</w:t>
            </w:r>
          </w:p>
        </w:tc>
        <w:tc>
          <w:tcPr>
            <w:tcW w:w="3053" w:type="dxa"/>
          </w:tcPr>
          <w:p w14:paraId="01E9CD38" w14:textId="2AFCB27A" w:rsidR="00B1149C" w:rsidRPr="00AD7EBC" w:rsidRDefault="000B70EA" w:rsidP="00B1149C">
            <w:pPr>
              <w:ind w:left="147" w:right="120"/>
              <w:rPr>
                <w:lang w:val="en-GB"/>
              </w:rPr>
            </w:pPr>
            <w:r w:rsidRPr="00AD7EBC">
              <w:rPr>
                <w:lang w:val="en-GB"/>
              </w:rPr>
              <w:t>A larger sample will be</w:t>
            </w:r>
            <w:r w:rsidR="00663BB0" w:rsidRPr="00AD7EBC">
              <w:rPr>
                <w:lang w:val="en-GB"/>
              </w:rPr>
              <w:t xml:space="preserve"> constituted to make up for attrition coming from security situation </w:t>
            </w:r>
            <w:r w:rsidR="009432D3" w:rsidRPr="00AD7EBC">
              <w:rPr>
                <w:lang w:val="en-GB"/>
              </w:rPr>
              <w:t xml:space="preserve">and displacement of the population. </w:t>
            </w:r>
            <w:r w:rsidR="00986775" w:rsidRPr="00AD7EBC">
              <w:rPr>
                <w:lang w:val="en-GB"/>
              </w:rPr>
              <w:t xml:space="preserve">And </w:t>
            </w:r>
            <w:r w:rsidR="00910C5C" w:rsidRPr="00AD7EBC">
              <w:rPr>
                <w:lang w:val="en-GB"/>
              </w:rPr>
              <w:t>maximal attrition</w:t>
            </w:r>
            <w:r w:rsidR="006441F4" w:rsidRPr="00AD7EBC">
              <w:rPr>
                <w:lang w:val="en-GB"/>
              </w:rPr>
              <w:t xml:space="preserve"> </w:t>
            </w:r>
            <w:r w:rsidR="00986775" w:rsidRPr="00AD7EBC">
              <w:rPr>
                <w:lang w:val="en-GB"/>
              </w:rPr>
              <w:t xml:space="preserve">numbers will be used when selecting cohort size. </w:t>
            </w:r>
          </w:p>
        </w:tc>
      </w:tr>
      <w:tr w:rsidR="00B1149C" w:rsidRPr="00AD7EBC" w14:paraId="14188A99" w14:textId="77777777" w:rsidTr="00B1149C">
        <w:trPr>
          <w:trHeight w:hRule="exact" w:val="2972"/>
        </w:trPr>
        <w:tc>
          <w:tcPr>
            <w:tcW w:w="2552" w:type="dxa"/>
          </w:tcPr>
          <w:p w14:paraId="25807F11" w14:textId="77777777" w:rsidR="00B1149C" w:rsidRPr="00AD7EBC" w:rsidRDefault="00B1149C" w:rsidP="00B1149C">
            <w:pPr>
              <w:ind w:left="147" w:right="120"/>
              <w:rPr>
                <w:lang w:val="en-GB"/>
              </w:rPr>
            </w:pPr>
            <w:r w:rsidRPr="00AD7EBC">
              <w:rPr>
                <w:lang w:val="en-GB"/>
              </w:rPr>
              <w:t xml:space="preserve">Extreme weather conditions (flood, drought etc.) </w:t>
            </w:r>
          </w:p>
        </w:tc>
        <w:tc>
          <w:tcPr>
            <w:tcW w:w="1701" w:type="dxa"/>
          </w:tcPr>
          <w:p w14:paraId="4D976C03" w14:textId="33A6C433" w:rsidR="00B1149C" w:rsidRPr="00AD7EBC" w:rsidRDefault="00986775" w:rsidP="00B1149C">
            <w:pPr>
              <w:ind w:left="147" w:right="120"/>
              <w:rPr>
                <w:lang w:val="en-GB"/>
              </w:rPr>
            </w:pPr>
            <w:r w:rsidRPr="00AD7EBC">
              <w:rPr>
                <w:lang w:val="en-GB"/>
              </w:rPr>
              <w:t>Medium</w:t>
            </w:r>
          </w:p>
        </w:tc>
        <w:tc>
          <w:tcPr>
            <w:tcW w:w="1559" w:type="dxa"/>
          </w:tcPr>
          <w:p w14:paraId="451788AB" w14:textId="77777777" w:rsidR="00B1149C" w:rsidRPr="00AD7EBC" w:rsidRDefault="00B1149C" w:rsidP="00B1149C">
            <w:pPr>
              <w:ind w:left="147" w:right="120"/>
              <w:rPr>
                <w:lang w:val="en-GB"/>
              </w:rPr>
            </w:pPr>
            <w:r w:rsidRPr="00AD7EBC">
              <w:rPr>
                <w:lang w:val="en-GB"/>
              </w:rPr>
              <w:t>Low</w:t>
            </w:r>
          </w:p>
        </w:tc>
        <w:tc>
          <w:tcPr>
            <w:tcW w:w="3053" w:type="dxa"/>
          </w:tcPr>
          <w:p w14:paraId="32E2D48D" w14:textId="608943FF" w:rsidR="00B1149C" w:rsidRPr="00AD7EBC" w:rsidRDefault="00B1149C" w:rsidP="00B1149C">
            <w:pPr>
              <w:ind w:left="147" w:right="120"/>
              <w:rPr>
                <w:lang w:val="en-GB"/>
              </w:rPr>
            </w:pPr>
            <w:r w:rsidRPr="00AD7EBC">
              <w:rPr>
                <w:lang w:val="en-GB"/>
              </w:rPr>
              <w:t>Carefully log all aspects of extreme weather that will affect data collection.</w:t>
            </w:r>
            <w:r w:rsidR="00986775" w:rsidRPr="00AD7EBC">
              <w:rPr>
                <w:lang w:val="en-GB"/>
              </w:rPr>
              <w:t xml:space="preserve"> Data collection during the rainy season will be avoided to ensure maximal accessibility.</w:t>
            </w:r>
          </w:p>
          <w:p w14:paraId="4300E330" w14:textId="1FC1954C" w:rsidR="00B1149C" w:rsidRPr="00AD7EBC" w:rsidRDefault="00B1149C" w:rsidP="00986775">
            <w:pPr>
              <w:ind w:right="120"/>
              <w:rPr>
                <w:lang w:val="en-GB"/>
              </w:rPr>
            </w:pPr>
          </w:p>
        </w:tc>
      </w:tr>
      <w:tr w:rsidR="00B1149C" w:rsidRPr="00AD7EBC" w14:paraId="2CF3D954" w14:textId="77777777" w:rsidTr="00B1149C">
        <w:trPr>
          <w:trHeight w:hRule="exact" w:val="3406"/>
        </w:trPr>
        <w:tc>
          <w:tcPr>
            <w:tcW w:w="2552" w:type="dxa"/>
          </w:tcPr>
          <w:p w14:paraId="0C89C11D" w14:textId="77777777" w:rsidR="00B1149C" w:rsidRPr="00AD7EBC" w:rsidRDefault="00B1149C" w:rsidP="00B1149C">
            <w:pPr>
              <w:ind w:left="147" w:right="120"/>
              <w:rPr>
                <w:lang w:val="en-GB"/>
              </w:rPr>
            </w:pPr>
            <w:r w:rsidRPr="00AD7EBC">
              <w:rPr>
                <w:lang w:val="en-GB"/>
              </w:rPr>
              <w:lastRenderedPageBreak/>
              <w:t>Monitoring data is of poor quality</w:t>
            </w:r>
          </w:p>
        </w:tc>
        <w:tc>
          <w:tcPr>
            <w:tcW w:w="1701" w:type="dxa"/>
          </w:tcPr>
          <w:p w14:paraId="1BC22B7C" w14:textId="77777777" w:rsidR="00B1149C" w:rsidRPr="00AD7EBC" w:rsidRDefault="00B1149C" w:rsidP="00B1149C">
            <w:pPr>
              <w:ind w:left="147" w:right="120"/>
              <w:rPr>
                <w:lang w:val="en-GB"/>
              </w:rPr>
            </w:pPr>
            <w:r w:rsidRPr="00AD7EBC">
              <w:rPr>
                <w:lang w:val="en-GB"/>
              </w:rPr>
              <w:t>Low</w:t>
            </w:r>
          </w:p>
        </w:tc>
        <w:tc>
          <w:tcPr>
            <w:tcW w:w="1559" w:type="dxa"/>
          </w:tcPr>
          <w:p w14:paraId="030B057F" w14:textId="77777777" w:rsidR="00B1149C" w:rsidRPr="00AD7EBC" w:rsidRDefault="00B1149C" w:rsidP="00B1149C">
            <w:pPr>
              <w:ind w:left="147" w:right="120"/>
              <w:rPr>
                <w:lang w:val="en-GB"/>
              </w:rPr>
            </w:pPr>
            <w:r w:rsidRPr="00AD7EBC">
              <w:rPr>
                <w:lang w:val="en-GB"/>
              </w:rPr>
              <w:t>High</w:t>
            </w:r>
          </w:p>
        </w:tc>
        <w:tc>
          <w:tcPr>
            <w:tcW w:w="3053" w:type="dxa"/>
          </w:tcPr>
          <w:p w14:paraId="58DE9D9F" w14:textId="77777777" w:rsidR="00B1149C" w:rsidRPr="00AD7EBC" w:rsidRDefault="00B1149C" w:rsidP="00B1149C">
            <w:pPr>
              <w:ind w:left="147" w:right="120"/>
              <w:rPr>
                <w:lang w:val="en-GB"/>
              </w:rPr>
            </w:pPr>
            <w:r w:rsidRPr="00AD7EBC">
              <w:rPr>
                <w:lang w:val="en-GB"/>
              </w:rPr>
              <w:t xml:space="preserve">MEAL training with all project staff will be hold by the MEAL specialist at the beginning of the project, with a focus on monitoring activities and monitoring data collection. </w:t>
            </w:r>
          </w:p>
          <w:p w14:paraId="6F51B75A" w14:textId="77777777" w:rsidR="00B1149C" w:rsidRPr="00AD7EBC" w:rsidRDefault="00B1149C" w:rsidP="00B1149C">
            <w:pPr>
              <w:ind w:left="147" w:right="120"/>
              <w:rPr>
                <w:lang w:val="en-GB"/>
              </w:rPr>
            </w:pPr>
            <w:r w:rsidRPr="00AD7EBC">
              <w:rPr>
                <w:lang w:val="en-GB"/>
              </w:rPr>
              <w:t>Follow-up trainings, although not as extensive, will be provided; ideally, having a capacity development plan for project staff.</w:t>
            </w:r>
          </w:p>
        </w:tc>
      </w:tr>
      <w:tr w:rsidR="00B1149C" w:rsidRPr="00AD7EBC" w14:paraId="2D427259" w14:textId="77777777" w:rsidTr="00B1149C">
        <w:trPr>
          <w:trHeight w:hRule="exact" w:val="2561"/>
        </w:trPr>
        <w:tc>
          <w:tcPr>
            <w:tcW w:w="2552" w:type="dxa"/>
          </w:tcPr>
          <w:p w14:paraId="21E53912" w14:textId="77777777" w:rsidR="00B1149C" w:rsidRPr="00AD7EBC" w:rsidRDefault="00B1149C" w:rsidP="00B1149C">
            <w:pPr>
              <w:ind w:left="147" w:right="120"/>
              <w:rPr>
                <w:lang w:val="en-GB"/>
              </w:rPr>
            </w:pPr>
            <w:r w:rsidRPr="00AD7EBC">
              <w:rPr>
                <w:lang w:val="en-GB"/>
              </w:rPr>
              <w:t xml:space="preserve">Difficulty to find external evaluators with the required standards, skillsets and competencies. </w:t>
            </w:r>
          </w:p>
        </w:tc>
        <w:tc>
          <w:tcPr>
            <w:tcW w:w="1701" w:type="dxa"/>
          </w:tcPr>
          <w:p w14:paraId="71CB1AF0" w14:textId="77777777" w:rsidR="00B1149C" w:rsidRPr="00AD7EBC" w:rsidRDefault="00B1149C" w:rsidP="00B1149C">
            <w:pPr>
              <w:ind w:left="147" w:right="120"/>
              <w:rPr>
                <w:lang w:val="en-GB"/>
              </w:rPr>
            </w:pPr>
            <w:r w:rsidRPr="00AD7EBC">
              <w:rPr>
                <w:lang w:val="en-GB"/>
              </w:rPr>
              <w:t>Medium</w:t>
            </w:r>
          </w:p>
        </w:tc>
        <w:tc>
          <w:tcPr>
            <w:tcW w:w="1559" w:type="dxa"/>
          </w:tcPr>
          <w:p w14:paraId="17D55A42" w14:textId="77777777" w:rsidR="00B1149C" w:rsidRPr="00AD7EBC" w:rsidRDefault="00B1149C" w:rsidP="00B1149C">
            <w:pPr>
              <w:ind w:left="147" w:right="120"/>
              <w:rPr>
                <w:lang w:val="en-GB"/>
              </w:rPr>
            </w:pPr>
            <w:r w:rsidRPr="00AD7EBC">
              <w:rPr>
                <w:lang w:val="en-GB"/>
              </w:rPr>
              <w:t>High</w:t>
            </w:r>
          </w:p>
        </w:tc>
        <w:tc>
          <w:tcPr>
            <w:tcW w:w="3053" w:type="dxa"/>
          </w:tcPr>
          <w:p w14:paraId="6EF44D32" w14:textId="31C19842" w:rsidR="00B1149C" w:rsidRPr="00AD7EBC" w:rsidRDefault="00B1149C" w:rsidP="00B1149C">
            <w:pPr>
              <w:ind w:left="147" w:right="120"/>
              <w:rPr>
                <w:lang w:val="en-GB"/>
              </w:rPr>
            </w:pPr>
            <w:r w:rsidRPr="00AD7EBC">
              <w:rPr>
                <w:lang w:val="en-GB"/>
              </w:rPr>
              <w:t>Thorough and strict procurement process and recruitment will help in screening the consultants with the right requirements and those who don’t. Planning wel</w:t>
            </w:r>
            <w:r w:rsidR="00910C5C">
              <w:rPr>
                <w:lang w:val="en-GB"/>
              </w:rPr>
              <w:t>l ahead of time for recruitment</w:t>
            </w:r>
            <w:r w:rsidRPr="00AD7EBC">
              <w:rPr>
                <w:lang w:val="en-GB"/>
              </w:rPr>
              <w:t xml:space="preserve"> and seek advice with the FM if needed. </w:t>
            </w:r>
          </w:p>
        </w:tc>
      </w:tr>
      <w:tr w:rsidR="00B1149C" w:rsidRPr="00AD7EBC" w14:paraId="3BFB2FF8" w14:textId="77777777" w:rsidTr="00B1149C">
        <w:trPr>
          <w:trHeight w:hRule="exact" w:val="2708"/>
        </w:trPr>
        <w:tc>
          <w:tcPr>
            <w:tcW w:w="2552" w:type="dxa"/>
          </w:tcPr>
          <w:p w14:paraId="69298B7C" w14:textId="77777777" w:rsidR="00B1149C" w:rsidRPr="00AD7EBC" w:rsidRDefault="00B1149C" w:rsidP="00B1149C">
            <w:pPr>
              <w:ind w:left="147" w:right="120"/>
              <w:rPr>
                <w:lang w:val="en-GB"/>
              </w:rPr>
            </w:pPr>
            <w:r w:rsidRPr="00AD7EBC">
              <w:rPr>
                <w:lang w:val="en-GB"/>
              </w:rPr>
              <w:t>Hired external evaluators cannot deliver or deliver low standard work.</w:t>
            </w:r>
          </w:p>
        </w:tc>
        <w:tc>
          <w:tcPr>
            <w:tcW w:w="1701" w:type="dxa"/>
          </w:tcPr>
          <w:p w14:paraId="79D8F500" w14:textId="77777777" w:rsidR="00B1149C" w:rsidRPr="00AD7EBC" w:rsidRDefault="00B1149C" w:rsidP="00B1149C">
            <w:pPr>
              <w:ind w:left="147" w:right="120"/>
              <w:rPr>
                <w:lang w:val="en-GB"/>
              </w:rPr>
            </w:pPr>
            <w:r w:rsidRPr="00AD7EBC">
              <w:rPr>
                <w:lang w:val="en-GB"/>
              </w:rPr>
              <w:t>Medium</w:t>
            </w:r>
          </w:p>
        </w:tc>
        <w:tc>
          <w:tcPr>
            <w:tcW w:w="1559" w:type="dxa"/>
          </w:tcPr>
          <w:p w14:paraId="133C02DB" w14:textId="77777777" w:rsidR="00B1149C" w:rsidRPr="00AD7EBC" w:rsidRDefault="00B1149C" w:rsidP="00B1149C">
            <w:pPr>
              <w:ind w:left="147" w:right="120"/>
              <w:rPr>
                <w:lang w:val="en-GB"/>
              </w:rPr>
            </w:pPr>
            <w:r w:rsidRPr="00AD7EBC">
              <w:rPr>
                <w:lang w:val="en-GB"/>
              </w:rPr>
              <w:t>High</w:t>
            </w:r>
          </w:p>
        </w:tc>
        <w:tc>
          <w:tcPr>
            <w:tcW w:w="3053" w:type="dxa"/>
          </w:tcPr>
          <w:p w14:paraId="004636CC" w14:textId="3711777B" w:rsidR="00B1149C" w:rsidRPr="00AD7EBC" w:rsidRDefault="00B1149C" w:rsidP="00B1149C">
            <w:pPr>
              <w:ind w:left="147" w:right="120"/>
              <w:rPr>
                <w:lang w:val="en-GB"/>
              </w:rPr>
            </w:pPr>
            <w:r w:rsidRPr="00AD7EBC">
              <w:rPr>
                <w:lang w:val="en-GB"/>
              </w:rPr>
              <w:t>If time allows, terminate the current evaluators’ contract, and reach out to the second</w:t>
            </w:r>
            <w:r w:rsidR="00910C5C">
              <w:rPr>
                <w:lang w:val="en-GB"/>
              </w:rPr>
              <w:t>-</w:t>
            </w:r>
            <w:r w:rsidRPr="00AD7EBC">
              <w:rPr>
                <w:lang w:val="en-GB"/>
              </w:rPr>
              <w:t xml:space="preserve">best applicants and see whether they are able to fill in the role. </w:t>
            </w:r>
          </w:p>
          <w:p w14:paraId="20B0DC2B" w14:textId="77777777" w:rsidR="00B1149C" w:rsidRPr="00AD7EBC" w:rsidRDefault="00B1149C" w:rsidP="00B1149C">
            <w:pPr>
              <w:ind w:left="147" w:right="120"/>
              <w:rPr>
                <w:lang w:val="en-GB"/>
              </w:rPr>
            </w:pPr>
            <w:r w:rsidRPr="00AD7EBC">
              <w:rPr>
                <w:lang w:val="en-GB"/>
              </w:rPr>
              <w:t>Re-start the recruitment process at the next evaluation point to hire a new evaluator.</w:t>
            </w:r>
          </w:p>
        </w:tc>
      </w:tr>
      <w:tr w:rsidR="00B1149C" w:rsidRPr="00AD7EBC" w14:paraId="3553513B" w14:textId="77777777" w:rsidTr="00B1149C">
        <w:trPr>
          <w:trHeight w:hRule="exact" w:val="3823"/>
        </w:trPr>
        <w:tc>
          <w:tcPr>
            <w:tcW w:w="2552" w:type="dxa"/>
          </w:tcPr>
          <w:p w14:paraId="2E6C16DC" w14:textId="77777777" w:rsidR="00B1149C" w:rsidRPr="00AD7EBC" w:rsidRDefault="00B1149C" w:rsidP="00B1149C">
            <w:pPr>
              <w:ind w:left="147" w:right="120"/>
              <w:rPr>
                <w:lang w:val="en-GB"/>
              </w:rPr>
            </w:pPr>
            <w:r w:rsidRPr="00AD7EBC">
              <w:rPr>
                <w:lang w:val="en-GB"/>
              </w:rPr>
              <w:lastRenderedPageBreak/>
              <w:t>The accountability system in place is not appropriate for the community.</w:t>
            </w:r>
          </w:p>
        </w:tc>
        <w:tc>
          <w:tcPr>
            <w:tcW w:w="1701" w:type="dxa"/>
          </w:tcPr>
          <w:p w14:paraId="03B5C0A1" w14:textId="77777777" w:rsidR="00B1149C" w:rsidRPr="00AD7EBC" w:rsidRDefault="00B1149C" w:rsidP="00B1149C">
            <w:pPr>
              <w:ind w:left="147" w:right="120"/>
              <w:rPr>
                <w:lang w:val="en-GB"/>
              </w:rPr>
            </w:pPr>
            <w:r w:rsidRPr="00AD7EBC">
              <w:rPr>
                <w:lang w:val="en-GB"/>
              </w:rPr>
              <w:t>Low</w:t>
            </w:r>
          </w:p>
        </w:tc>
        <w:tc>
          <w:tcPr>
            <w:tcW w:w="1559" w:type="dxa"/>
          </w:tcPr>
          <w:p w14:paraId="6EAB97A2" w14:textId="77777777" w:rsidR="00B1149C" w:rsidRPr="00AD7EBC" w:rsidRDefault="00B1149C" w:rsidP="00B1149C">
            <w:pPr>
              <w:ind w:left="147" w:right="120"/>
              <w:rPr>
                <w:lang w:val="en-GB"/>
              </w:rPr>
            </w:pPr>
            <w:r w:rsidRPr="00AD7EBC">
              <w:rPr>
                <w:lang w:val="en-GB"/>
              </w:rPr>
              <w:t>Medium</w:t>
            </w:r>
          </w:p>
        </w:tc>
        <w:tc>
          <w:tcPr>
            <w:tcW w:w="3053" w:type="dxa"/>
          </w:tcPr>
          <w:p w14:paraId="47E51611" w14:textId="77777777" w:rsidR="00B1149C" w:rsidRPr="00AD7EBC" w:rsidRDefault="00B1149C" w:rsidP="00B1149C">
            <w:pPr>
              <w:ind w:left="147" w:right="120"/>
              <w:rPr>
                <w:lang w:val="en-GB"/>
              </w:rPr>
            </w:pPr>
            <w:r w:rsidRPr="00AD7EBC">
              <w:rPr>
                <w:lang w:val="en-GB"/>
              </w:rPr>
              <w:t xml:space="preserve">It is required from Save the Children staff to hold community participation sessions to enable community members to choose the right accountability approach and tool that they would like to use. </w:t>
            </w:r>
          </w:p>
          <w:p w14:paraId="3A8C5987" w14:textId="77777777" w:rsidR="00B1149C" w:rsidRPr="00AD7EBC" w:rsidRDefault="00B1149C" w:rsidP="00B1149C">
            <w:pPr>
              <w:ind w:left="147" w:right="120"/>
              <w:rPr>
                <w:lang w:val="en-GB"/>
              </w:rPr>
            </w:pPr>
            <w:r w:rsidRPr="00AD7EBC">
              <w:rPr>
                <w:lang w:val="en-GB"/>
              </w:rPr>
              <w:t>Replace the tools and accountability approach as soon as they are found inappropriate to the community’s use.</w:t>
            </w:r>
          </w:p>
        </w:tc>
      </w:tr>
      <w:tr w:rsidR="00B1149C" w:rsidRPr="00AD7EBC" w14:paraId="4B89D6E2" w14:textId="77777777" w:rsidTr="00B1149C">
        <w:trPr>
          <w:trHeight w:hRule="exact" w:val="2701"/>
        </w:trPr>
        <w:tc>
          <w:tcPr>
            <w:tcW w:w="2552" w:type="dxa"/>
          </w:tcPr>
          <w:p w14:paraId="58601F52" w14:textId="0EF2DB29" w:rsidR="00B1149C" w:rsidRPr="00AD7EBC" w:rsidRDefault="00B1149C" w:rsidP="00B1149C">
            <w:pPr>
              <w:ind w:left="147" w:right="120"/>
              <w:rPr>
                <w:lang w:val="en-GB"/>
              </w:rPr>
            </w:pPr>
            <w:r w:rsidRPr="00AD7EBC">
              <w:rPr>
                <w:lang w:val="en-GB"/>
              </w:rPr>
              <w:t>The accountability system</w:t>
            </w:r>
            <w:r w:rsidR="00910C5C">
              <w:rPr>
                <w:lang w:val="en-GB"/>
              </w:rPr>
              <w:t xml:space="preserve"> in place is not secured enough</w:t>
            </w:r>
            <w:r w:rsidRPr="00AD7EBC">
              <w:rPr>
                <w:lang w:val="en-GB"/>
              </w:rPr>
              <w:t xml:space="preserve"> and might put beneficiaries in danger.</w:t>
            </w:r>
          </w:p>
        </w:tc>
        <w:tc>
          <w:tcPr>
            <w:tcW w:w="1701" w:type="dxa"/>
          </w:tcPr>
          <w:p w14:paraId="7A9E734A" w14:textId="77777777" w:rsidR="00B1149C" w:rsidRPr="00AD7EBC" w:rsidRDefault="00B1149C" w:rsidP="00B1149C">
            <w:pPr>
              <w:ind w:left="147" w:right="120"/>
              <w:rPr>
                <w:lang w:val="en-GB"/>
              </w:rPr>
            </w:pPr>
            <w:r w:rsidRPr="00AD7EBC">
              <w:rPr>
                <w:lang w:val="en-GB"/>
              </w:rPr>
              <w:t>Low</w:t>
            </w:r>
          </w:p>
        </w:tc>
        <w:tc>
          <w:tcPr>
            <w:tcW w:w="1559" w:type="dxa"/>
          </w:tcPr>
          <w:p w14:paraId="2BB9CA4E" w14:textId="77777777" w:rsidR="00B1149C" w:rsidRPr="00AD7EBC" w:rsidRDefault="00B1149C" w:rsidP="00B1149C">
            <w:pPr>
              <w:ind w:left="147" w:right="120"/>
              <w:rPr>
                <w:lang w:val="en-GB"/>
              </w:rPr>
            </w:pPr>
            <w:r w:rsidRPr="00AD7EBC">
              <w:rPr>
                <w:lang w:val="en-GB"/>
              </w:rPr>
              <w:t>High</w:t>
            </w:r>
          </w:p>
        </w:tc>
        <w:tc>
          <w:tcPr>
            <w:tcW w:w="3053" w:type="dxa"/>
          </w:tcPr>
          <w:p w14:paraId="1192E5E2" w14:textId="02DC9315" w:rsidR="00B1149C" w:rsidRPr="00AD7EBC" w:rsidRDefault="00B1149C" w:rsidP="00B1149C">
            <w:pPr>
              <w:ind w:left="147" w:right="120"/>
              <w:rPr>
                <w:lang w:val="en-GB"/>
              </w:rPr>
            </w:pPr>
            <w:r w:rsidRPr="00AD7EBC">
              <w:rPr>
                <w:lang w:val="en-GB"/>
              </w:rPr>
              <w:t>Save the Children puts their beneficiaries’</w:t>
            </w:r>
            <w:r w:rsidR="00910C5C">
              <w:rPr>
                <w:lang w:val="en-GB"/>
              </w:rPr>
              <w:t xml:space="preserve"> safety as a very high priority</w:t>
            </w:r>
            <w:r w:rsidRPr="00AD7EBC">
              <w:rPr>
                <w:lang w:val="en-GB"/>
              </w:rPr>
              <w:t xml:space="preserve"> and follows strictly the Do No Harm policy. During the setup of the accountability system, the team will ensure that all safety measures and access to sensitive data are strictly in place. </w:t>
            </w:r>
          </w:p>
        </w:tc>
      </w:tr>
      <w:tr w:rsidR="00B1149C" w:rsidRPr="00AD7EBC" w14:paraId="0AABAEFE" w14:textId="77777777" w:rsidTr="00B1149C">
        <w:trPr>
          <w:trHeight w:hRule="exact" w:val="3958"/>
        </w:trPr>
        <w:tc>
          <w:tcPr>
            <w:tcW w:w="2552" w:type="dxa"/>
          </w:tcPr>
          <w:p w14:paraId="02057665" w14:textId="77777777" w:rsidR="00B1149C" w:rsidRPr="00AD7EBC" w:rsidRDefault="00B1149C" w:rsidP="00B1149C">
            <w:pPr>
              <w:ind w:left="147" w:right="120"/>
              <w:rPr>
                <w:lang w:val="en-GB"/>
              </w:rPr>
            </w:pPr>
            <w:r w:rsidRPr="00AD7EBC">
              <w:rPr>
                <w:lang w:val="en-GB"/>
              </w:rPr>
              <w:t xml:space="preserve">The learning agenda is seen as ad hoc and not well embedded in project’s activities. </w:t>
            </w:r>
          </w:p>
        </w:tc>
        <w:tc>
          <w:tcPr>
            <w:tcW w:w="1701" w:type="dxa"/>
          </w:tcPr>
          <w:p w14:paraId="269BAF73" w14:textId="77777777" w:rsidR="00B1149C" w:rsidRPr="00AD7EBC" w:rsidRDefault="00B1149C" w:rsidP="00B1149C">
            <w:pPr>
              <w:ind w:left="147" w:right="120"/>
              <w:rPr>
                <w:lang w:val="en-GB"/>
              </w:rPr>
            </w:pPr>
            <w:r w:rsidRPr="00AD7EBC">
              <w:rPr>
                <w:lang w:val="en-GB"/>
              </w:rPr>
              <w:t>Medium</w:t>
            </w:r>
          </w:p>
        </w:tc>
        <w:tc>
          <w:tcPr>
            <w:tcW w:w="1559" w:type="dxa"/>
          </w:tcPr>
          <w:p w14:paraId="3DA68F71" w14:textId="77777777" w:rsidR="00B1149C" w:rsidRPr="00AD7EBC" w:rsidRDefault="00B1149C" w:rsidP="00B1149C">
            <w:pPr>
              <w:ind w:left="147" w:right="120"/>
              <w:rPr>
                <w:lang w:val="en-GB"/>
              </w:rPr>
            </w:pPr>
            <w:r w:rsidRPr="00AD7EBC">
              <w:rPr>
                <w:lang w:val="en-GB"/>
              </w:rPr>
              <w:t>Medium</w:t>
            </w:r>
          </w:p>
        </w:tc>
        <w:tc>
          <w:tcPr>
            <w:tcW w:w="3053" w:type="dxa"/>
          </w:tcPr>
          <w:p w14:paraId="39D9C987" w14:textId="77777777" w:rsidR="00B1149C" w:rsidRPr="00AD7EBC" w:rsidRDefault="00B1149C" w:rsidP="00B1149C">
            <w:pPr>
              <w:ind w:left="147" w:right="120"/>
              <w:rPr>
                <w:lang w:val="en-GB"/>
              </w:rPr>
            </w:pPr>
            <w:r w:rsidRPr="00AD7EBC">
              <w:rPr>
                <w:lang w:val="en-GB"/>
              </w:rPr>
              <w:t xml:space="preserve">As part of the MEAL training mentioned above, all project staff will learn about the importance of learning and how best to disseminate and use learning in their daily tasks. </w:t>
            </w:r>
          </w:p>
          <w:p w14:paraId="731513F6" w14:textId="77777777" w:rsidR="00B1149C" w:rsidRPr="00AD7EBC" w:rsidRDefault="00B1149C" w:rsidP="00B1149C">
            <w:pPr>
              <w:ind w:left="147" w:right="120"/>
              <w:rPr>
                <w:lang w:val="en-GB"/>
              </w:rPr>
            </w:pPr>
            <w:r w:rsidRPr="00AD7EBC">
              <w:rPr>
                <w:lang w:val="en-GB"/>
              </w:rPr>
              <w:t>The learning strategy and plan for the project will be presented to all staff and ensure to get buy-in. People will be assign roles to take on, which will ensure their involvement and engagement.</w:t>
            </w:r>
          </w:p>
        </w:tc>
      </w:tr>
      <w:tr w:rsidR="00B1149C" w:rsidRPr="00AD7EBC" w14:paraId="001D6E24" w14:textId="77777777" w:rsidTr="00B1149C">
        <w:trPr>
          <w:trHeight w:hRule="exact" w:val="1999"/>
        </w:trPr>
        <w:tc>
          <w:tcPr>
            <w:tcW w:w="2552" w:type="dxa"/>
          </w:tcPr>
          <w:p w14:paraId="77650C07" w14:textId="77777777" w:rsidR="00B1149C" w:rsidRPr="00AD7EBC" w:rsidRDefault="00B1149C" w:rsidP="00B1149C">
            <w:pPr>
              <w:ind w:left="147" w:right="120"/>
              <w:rPr>
                <w:lang w:val="en-GB"/>
              </w:rPr>
            </w:pPr>
            <w:r w:rsidRPr="00AD7EBC">
              <w:rPr>
                <w:lang w:val="en-GB"/>
              </w:rPr>
              <w:lastRenderedPageBreak/>
              <w:t xml:space="preserve">Lack of use of evidence and learning to feed back into program implementation and delivery. </w:t>
            </w:r>
          </w:p>
        </w:tc>
        <w:tc>
          <w:tcPr>
            <w:tcW w:w="1701" w:type="dxa"/>
          </w:tcPr>
          <w:p w14:paraId="7A8B6CDD" w14:textId="77777777" w:rsidR="00B1149C" w:rsidRPr="00AD7EBC" w:rsidRDefault="00B1149C" w:rsidP="00B1149C">
            <w:pPr>
              <w:ind w:left="147" w:right="120"/>
              <w:rPr>
                <w:lang w:val="en-GB"/>
              </w:rPr>
            </w:pPr>
            <w:r w:rsidRPr="00AD7EBC">
              <w:rPr>
                <w:lang w:val="en-GB"/>
              </w:rPr>
              <w:t>Medium</w:t>
            </w:r>
          </w:p>
        </w:tc>
        <w:tc>
          <w:tcPr>
            <w:tcW w:w="1559" w:type="dxa"/>
          </w:tcPr>
          <w:p w14:paraId="51DC5218" w14:textId="77777777" w:rsidR="00B1149C" w:rsidRPr="00AD7EBC" w:rsidRDefault="00B1149C" w:rsidP="00B1149C">
            <w:pPr>
              <w:ind w:left="147" w:right="120"/>
              <w:rPr>
                <w:lang w:val="en-GB"/>
              </w:rPr>
            </w:pPr>
            <w:r w:rsidRPr="00AD7EBC">
              <w:rPr>
                <w:lang w:val="en-GB"/>
              </w:rPr>
              <w:t>High</w:t>
            </w:r>
          </w:p>
        </w:tc>
        <w:tc>
          <w:tcPr>
            <w:tcW w:w="3053" w:type="dxa"/>
          </w:tcPr>
          <w:p w14:paraId="0C464DA5" w14:textId="77777777" w:rsidR="00B1149C" w:rsidRPr="00AD7EBC" w:rsidRDefault="00B1149C" w:rsidP="00B1149C">
            <w:pPr>
              <w:ind w:left="147" w:right="120"/>
              <w:rPr>
                <w:lang w:val="en-GB"/>
              </w:rPr>
            </w:pPr>
            <w:r w:rsidRPr="00AD7EBC">
              <w:rPr>
                <w:lang w:val="en-GB"/>
              </w:rPr>
              <w:t xml:space="preserve">A learning plan will include practical actions to take to ensure that evidence and learning are truly used for improvements of program. These cases will need to be documented and tracked. </w:t>
            </w:r>
          </w:p>
        </w:tc>
      </w:tr>
      <w:tr w:rsidR="003814B1" w:rsidRPr="00AD7EBC" w14:paraId="250C91B5" w14:textId="77777777" w:rsidTr="00AD7EBC">
        <w:trPr>
          <w:trHeight w:hRule="exact" w:val="4267"/>
        </w:trPr>
        <w:tc>
          <w:tcPr>
            <w:tcW w:w="2552" w:type="dxa"/>
          </w:tcPr>
          <w:p w14:paraId="5E755787" w14:textId="6E3E9774" w:rsidR="003814B1" w:rsidRPr="00AD7EBC" w:rsidRDefault="003814B1" w:rsidP="00B1149C">
            <w:pPr>
              <w:ind w:left="147" w:right="120"/>
              <w:rPr>
                <w:lang w:val="en-GB"/>
              </w:rPr>
            </w:pPr>
            <w:r w:rsidRPr="00AD7EBC">
              <w:rPr>
                <w:lang w:val="en-GB"/>
              </w:rPr>
              <w:t>State of emergency/political violence</w:t>
            </w:r>
          </w:p>
        </w:tc>
        <w:tc>
          <w:tcPr>
            <w:tcW w:w="1701" w:type="dxa"/>
          </w:tcPr>
          <w:p w14:paraId="56ABB25B" w14:textId="01E43063" w:rsidR="003814B1" w:rsidRPr="00AD7EBC" w:rsidRDefault="003814B1" w:rsidP="00B1149C">
            <w:pPr>
              <w:ind w:left="147" w:right="120"/>
              <w:rPr>
                <w:lang w:val="en-GB"/>
              </w:rPr>
            </w:pPr>
            <w:r w:rsidRPr="00AD7EBC">
              <w:rPr>
                <w:lang w:val="en-GB"/>
              </w:rPr>
              <w:t xml:space="preserve">High </w:t>
            </w:r>
          </w:p>
        </w:tc>
        <w:tc>
          <w:tcPr>
            <w:tcW w:w="1559" w:type="dxa"/>
          </w:tcPr>
          <w:p w14:paraId="13E61E82" w14:textId="7609529A" w:rsidR="003814B1" w:rsidRPr="00AD7EBC" w:rsidRDefault="003814B1" w:rsidP="00B1149C">
            <w:pPr>
              <w:ind w:left="147" w:right="120"/>
              <w:rPr>
                <w:lang w:val="en-GB"/>
              </w:rPr>
            </w:pPr>
            <w:r w:rsidRPr="00AD7EBC">
              <w:rPr>
                <w:lang w:val="en-GB"/>
              </w:rPr>
              <w:t>Medium</w:t>
            </w:r>
          </w:p>
        </w:tc>
        <w:tc>
          <w:tcPr>
            <w:tcW w:w="3053" w:type="dxa"/>
          </w:tcPr>
          <w:p w14:paraId="7E2D25B5" w14:textId="15CE5A1C" w:rsidR="003814B1" w:rsidRPr="00AD7EBC" w:rsidRDefault="003814B1" w:rsidP="003814B1">
            <w:pPr>
              <w:ind w:left="147" w:right="120"/>
              <w:rPr>
                <w:lang w:val="en-GB"/>
              </w:rPr>
            </w:pPr>
            <w:r w:rsidRPr="00AD7EBC">
              <w:rPr>
                <w:lang w:val="en-GB"/>
              </w:rPr>
              <w:t>An extended sample size will be used in order to compensate for school that may need to be excluded due to these situations and in most cases</w:t>
            </w:r>
            <w:r w:rsidR="00910C5C">
              <w:rPr>
                <w:lang w:val="en-GB"/>
              </w:rPr>
              <w:t>,</w:t>
            </w:r>
            <w:r w:rsidRPr="00AD7EBC">
              <w:rPr>
                <w:lang w:val="en-GB"/>
              </w:rPr>
              <w:t xml:space="preserve"> violence is localized in certain areas of the country. In some </w:t>
            </w:r>
            <w:proofErr w:type="gramStart"/>
            <w:r w:rsidRPr="00AD7EBC">
              <w:rPr>
                <w:lang w:val="en-GB"/>
              </w:rPr>
              <w:t>cases</w:t>
            </w:r>
            <w:proofErr w:type="gramEnd"/>
            <w:r w:rsidRPr="00AD7EBC">
              <w:rPr>
                <w:lang w:val="en-GB"/>
              </w:rPr>
              <w:t xml:space="preserve"> we may consider remote control strategies if certain areas are no longer accessible. There may also be readjustments to the </w:t>
            </w:r>
            <w:r w:rsidR="00BC0501" w:rsidRPr="00AD7EBC">
              <w:rPr>
                <w:lang w:val="en-GB"/>
              </w:rPr>
              <w:t>timelines</w:t>
            </w:r>
            <w:r w:rsidRPr="00AD7EBC">
              <w:rPr>
                <w:lang w:val="en-GB"/>
              </w:rPr>
              <w:t xml:space="preserve"> of </w:t>
            </w:r>
            <w:r w:rsidR="00BC0501" w:rsidRPr="00AD7EBC">
              <w:rPr>
                <w:lang w:val="en-GB"/>
              </w:rPr>
              <w:t>evaluations</w:t>
            </w:r>
            <w:r w:rsidRPr="00AD7EBC">
              <w:rPr>
                <w:lang w:val="en-GB"/>
              </w:rPr>
              <w:t xml:space="preserve"> to ensure that there is a lesser risk of political violence. </w:t>
            </w:r>
          </w:p>
        </w:tc>
      </w:tr>
      <w:tr w:rsidR="003814B1" w:rsidRPr="00AD7EBC" w14:paraId="545880D4" w14:textId="77777777" w:rsidTr="00AD7EBC">
        <w:trPr>
          <w:trHeight w:hRule="exact" w:val="4682"/>
        </w:trPr>
        <w:tc>
          <w:tcPr>
            <w:tcW w:w="2552" w:type="dxa"/>
          </w:tcPr>
          <w:p w14:paraId="7960B3B5" w14:textId="2A88A116" w:rsidR="003814B1" w:rsidRPr="00AD7EBC" w:rsidRDefault="003814B1" w:rsidP="00B1149C">
            <w:pPr>
              <w:ind w:left="147" w:right="120"/>
              <w:rPr>
                <w:lang w:val="en-GB"/>
              </w:rPr>
            </w:pPr>
            <w:r w:rsidRPr="00AD7EBC">
              <w:rPr>
                <w:lang w:val="en-GB"/>
              </w:rPr>
              <w:t>High number of secondary schools for transition</w:t>
            </w:r>
          </w:p>
        </w:tc>
        <w:tc>
          <w:tcPr>
            <w:tcW w:w="1701" w:type="dxa"/>
          </w:tcPr>
          <w:p w14:paraId="0DDB156D" w14:textId="4A0F9CBD" w:rsidR="003814B1" w:rsidRPr="00AD7EBC" w:rsidRDefault="003814B1" w:rsidP="00B1149C">
            <w:pPr>
              <w:ind w:left="147" w:right="120"/>
              <w:rPr>
                <w:lang w:val="en-GB"/>
              </w:rPr>
            </w:pPr>
            <w:r w:rsidRPr="00AD7EBC">
              <w:rPr>
                <w:lang w:val="en-GB"/>
              </w:rPr>
              <w:t xml:space="preserve">Medium </w:t>
            </w:r>
          </w:p>
        </w:tc>
        <w:tc>
          <w:tcPr>
            <w:tcW w:w="1559" w:type="dxa"/>
          </w:tcPr>
          <w:p w14:paraId="28D1B504" w14:textId="53FCD0DB" w:rsidR="003814B1" w:rsidRPr="00AD7EBC" w:rsidRDefault="003814B1" w:rsidP="00B1149C">
            <w:pPr>
              <w:ind w:left="147" w:right="120"/>
              <w:rPr>
                <w:lang w:val="en-GB"/>
              </w:rPr>
            </w:pPr>
            <w:r w:rsidRPr="00AD7EBC">
              <w:rPr>
                <w:lang w:val="en-GB"/>
              </w:rPr>
              <w:t>Medium</w:t>
            </w:r>
          </w:p>
        </w:tc>
        <w:tc>
          <w:tcPr>
            <w:tcW w:w="3053" w:type="dxa"/>
          </w:tcPr>
          <w:p w14:paraId="101A19B2" w14:textId="6E70A04B" w:rsidR="003814B1" w:rsidRPr="00AD7EBC" w:rsidRDefault="003814B1" w:rsidP="003814B1">
            <w:pPr>
              <w:ind w:left="147" w:right="120"/>
              <w:rPr>
                <w:lang w:val="en-GB"/>
              </w:rPr>
            </w:pPr>
            <w:r w:rsidRPr="00AD7EBC">
              <w:rPr>
                <w:lang w:val="en-GB"/>
              </w:rPr>
              <w:t xml:space="preserve">The targeted secondary schools will be selected at the start of the project and will not be added on a rolling basis throughout the years. </w:t>
            </w:r>
            <w:r w:rsidR="000C3E63" w:rsidRPr="00AD7EBC">
              <w:rPr>
                <w:lang w:val="en-GB"/>
              </w:rPr>
              <w:t xml:space="preserve">If during the assessment that is ongoing a large number of high schools are identified than there a selection process based on </w:t>
            </w:r>
            <w:r w:rsidR="00CA610E">
              <w:rPr>
                <w:lang w:val="en-GB"/>
              </w:rPr>
              <w:t>the highest coverage</w:t>
            </w:r>
            <w:r w:rsidR="000C3E63" w:rsidRPr="00AD7EBC">
              <w:rPr>
                <w:lang w:val="en-GB"/>
              </w:rPr>
              <w:t xml:space="preserve">, distance, and availability will be undertaken. After the first year REALISE bursary recipients will be instructed about which </w:t>
            </w:r>
            <w:r w:rsidR="00BC0501" w:rsidRPr="00AD7EBC">
              <w:rPr>
                <w:lang w:val="en-GB"/>
              </w:rPr>
              <w:t>high schools</w:t>
            </w:r>
            <w:r w:rsidR="000C3E63" w:rsidRPr="00AD7EBC">
              <w:rPr>
                <w:lang w:val="en-GB"/>
              </w:rPr>
              <w:t xml:space="preserve"> will be targeted. </w:t>
            </w:r>
          </w:p>
        </w:tc>
      </w:tr>
      <w:tr w:rsidR="000C3E63" w:rsidRPr="00AD7EBC" w14:paraId="53A0692C" w14:textId="77777777" w:rsidTr="00E377A5">
        <w:trPr>
          <w:trHeight w:hRule="exact" w:val="6356"/>
        </w:trPr>
        <w:tc>
          <w:tcPr>
            <w:tcW w:w="2552" w:type="dxa"/>
          </w:tcPr>
          <w:p w14:paraId="6A11ABED" w14:textId="115EEB0E" w:rsidR="000C3E63" w:rsidRPr="00AD7EBC" w:rsidRDefault="000C3E63" w:rsidP="00B1149C">
            <w:pPr>
              <w:ind w:left="147" w:right="120"/>
              <w:rPr>
                <w:lang w:val="en-GB"/>
              </w:rPr>
            </w:pPr>
            <w:r w:rsidRPr="00AD7EBC">
              <w:rPr>
                <w:lang w:val="en-GB"/>
              </w:rPr>
              <w:lastRenderedPageBreak/>
              <w:t xml:space="preserve">Delayed </w:t>
            </w:r>
            <w:r w:rsidR="00115FC5">
              <w:rPr>
                <w:lang w:val="en-GB"/>
              </w:rPr>
              <w:t>activities</w:t>
            </w:r>
          </w:p>
        </w:tc>
        <w:tc>
          <w:tcPr>
            <w:tcW w:w="1701" w:type="dxa"/>
          </w:tcPr>
          <w:p w14:paraId="42FDA52C" w14:textId="27D9C4C3" w:rsidR="000C3E63" w:rsidRPr="00AD7EBC" w:rsidRDefault="00115FC5" w:rsidP="00B1149C">
            <w:pPr>
              <w:ind w:left="147" w:right="120"/>
              <w:rPr>
                <w:lang w:val="en-GB"/>
              </w:rPr>
            </w:pPr>
            <w:r>
              <w:rPr>
                <w:lang w:val="en-GB"/>
              </w:rPr>
              <w:t>Medium</w:t>
            </w:r>
          </w:p>
        </w:tc>
        <w:tc>
          <w:tcPr>
            <w:tcW w:w="1559" w:type="dxa"/>
          </w:tcPr>
          <w:p w14:paraId="17B66F6A" w14:textId="6AB689FF" w:rsidR="000C3E63" w:rsidRPr="00AD7EBC" w:rsidRDefault="000C3E63" w:rsidP="00B1149C">
            <w:pPr>
              <w:ind w:left="147" w:right="120"/>
              <w:rPr>
                <w:lang w:val="en-GB"/>
              </w:rPr>
            </w:pPr>
            <w:r w:rsidRPr="00AD7EBC">
              <w:rPr>
                <w:lang w:val="en-GB"/>
              </w:rPr>
              <w:t>Medium</w:t>
            </w:r>
          </w:p>
        </w:tc>
        <w:tc>
          <w:tcPr>
            <w:tcW w:w="3053" w:type="dxa"/>
          </w:tcPr>
          <w:p w14:paraId="014C2F99" w14:textId="33E35BAA" w:rsidR="00115FC5" w:rsidRDefault="00115FC5" w:rsidP="00115FC5">
            <w:pPr>
              <w:ind w:left="147" w:right="120"/>
              <w:rPr>
                <w:lang w:val="en-GB"/>
              </w:rPr>
            </w:pPr>
            <w:r>
              <w:rPr>
                <w:lang w:val="en-GB"/>
              </w:rPr>
              <w:t xml:space="preserve">We knew that undertaking REALISE would be a challenging undertaking. It is for that reason that many of the interventions do not start until September 2018, to allow us time to set up, assess the situation and implement properly from then. Key activities are being undertaken earlier (for child protection, or where </w:t>
            </w:r>
            <w:r w:rsidR="00E377A5">
              <w:rPr>
                <w:lang w:val="en-GB"/>
              </w:rPr>
              <w:t>activities</w:t>
            </w:r>
            <w:r>
              <w:rPr>
                <w:lang w:val="en-GB"/>
              </w:rPr>
              <w:t xml:space="preserve"> are quicker to implement, e.g. supporting AE centres). </w:t>
            </w:r>
          </w:p>
          <w:p w14:paraId="34406931" w14:textId="77777777" w:rsidR="00A40616" w:rsidRDefault="00A40616" w:rsidP="00115FC5">
            <w:pPr>
              <w:ind w:left="147" w:right="120"/>
              <w:rPr>
                <w:lang w:val="en-GB"/>
              </w:rPr>
            </w:pPr>
          </w:p>
          <w:p w14:paraId="605F8607" w14:textId="38FCDA39" w:rsidR="00E377A5" w:rsidRPr="00AD7EBC" w:rsidRDefault="00E377A5" w:rsidP="00115FC5">
            <w:pPr>
              <w:ind w:left="147" w:right="120"/>
              <w:rPr>
                <w:lang w:val="en-GB"/>
              </w:rPr>
            </w:pPr>
            <w:r>
              <w:rPr>
                <w:lang w:val="en-GB"/>
              </w:rPr>
              <w:t>The project starting after the school term meant we couldn’t pay bursaries</w:t>
            </w:r>
            <w:r w:rsidR="00A17DE8">
              <w:rPr>
                <w:lang w:val="en-GB"/>
              </w:rPr>
              <w:t xml:space="preserve"> to G6/7 this academic year</w:t>
            </w:r>
            <w:r>
              <w:rPr>
                <w:lang w:val="en-GB"/>
              </w:rPr>
              <w:t xml:space="preserve">. </w:t>
            </w:r>
            <w:r w:rsidR="00141E2A">
              <w:rPr>
                <w:lang w:val="en-GB"/>
              </w:rPr>
              <w:t xml:space="preserve">We are undertaking a data collection exercise now to understand what impact that has had on our cohort. </w:t>
            </w:r>
          </w:p>
          <w:p w14:paraId="4CDCF499" w14:textId="3631A63D" w:rsidR="000C3E63" w:rsidRPr="00AD7EBC" w:rsidRDefault="000C3E63" w:rsidP="00115FC5">
            <w:pPr>
              <w:ind w:right="120"/>
              <w:rPr>
                <w:lang w:val="en-GB"/>
              </w:rPr>
            </w:pPr>
          </w:p>
        </w:tc>
      </w:tr>
    </w:tbl>
    <w:p w14:paraId="58AEC666" w14:textId="33F39245" w:rsidR="00BC0501" w:rsidRPr="00AD7EBC" w:rsidRDefault="00BC0501" w:rsidP="007C7D0F">
      <w:pPr>
        <w:pStyle w:val="BodyText"/>
        <w:rPr>
          <w:sz w:val="20"/>
          <w:lang w:val="en-GB"/>
        </w:rPr>
      </w:pPr>
    </w:p>
    <w:p w14:paraId="223F415A" w14:textId="77777777" w:rsidR="00BC0501" w:rsidRPr="00AD7EBC" w:rsidRDefault="00BC0501">
      <w:pPr>
        <w:widowControl/>
        <w:spacing w:after="160" w:line="259" w:lineRule="auto"/>
        <w:rPr>
          <w:sz w:val="20"/>
          <w:lang w:val="en-GB"/>
        </w:rPr>
      </w:pPr>
      <w:r w:rsidRPr="00AD7EBC">
        <w:rPr>
          <w:sz w:val="20"/>
          <w:lang w:val="en-GB"/>
        </w:rPr>
        <w:br w:type="page"/>
      </w:r>
    </w:p>
    <w:p w14:paraId="07CE0FBA" w14:textId="30788541" w:rsidR="007C7D0F" w:rsidRPr="00AD7EBC" w:rsidRDefault="007C7D0F" w:rsidP="00C21EEA">
      <w:pPr>
        <w:pStyle w:val="Heading2"/>
      </w:pPr>
      <w:bookmarkStart w:id="12" w:name="_bookmark85"/>
      <w:bookmarkStart w:id="13" w:name="_Toc506203085"/>
      <w:bookmarkEnd w:id="12"/>
      <w:r w:rsidRPr="00AD7EBC">
        <w:lastRenderedPageBreak/>
        <w:t>Learning</w:t>
      </w:r>
      <w:bookmarkEnd w:id="13"/>
      <w:r w:rsidRPr="00AD7EBC">
        <w:t xml:space="preserve"> </w:t>
      </w:r>
    </w:p>
    <w:p w14:paraId="073E1110" w14:textId="77777777" w:rsidR="007C7D0F" w:rsidRPr="00AD7EBC" w:rsidRDefault="007C7D0F" w:rsidP="007C7D0F">
      <w:pPr>
        <w:pStyle w:val="BodyText"/>
        <w:spacing w:before="8"/>
        <w:rPr>
          <w:b/>
          <w:sz w:val="28"/>
          <w:lang w:val="en-GB"/>
        </w:rPr>
      </w:pPr>
    </w:p>
    <w:p w14:paraId="73215904" w14:textId="77777777" w:rsidR="007C7D0F" w:rsidRPr="00AD7EBC" w:rsidRDefault="007C7D0F" w:rsidP="007C7D0F">
      <w:pPr>
        <w:pStyle w:val="ListParagraph"/>
        <w:numPr>
          <w:ilvl w:val="1"/>
          <w:numId w:val="3"/>
        </w:numPr>
        <w:tabs>
          <w:tab w:val="left" w:pos="821"/>
        </w:tabs>
        <w:jc w:val="both"/>
        <w:rPr>
          <w:lang w:val="en-GB"/>
        </w:rPr>
      </w:pPr>
      <w:r w:rsidRPr="00AD7EBC">
        <w:rPr>
          <w:color w:val="1F487C"/>
          <w:lang w:val="en-GB"/>
        </w:rPr>
        <w:t>Learning</w:t>
      </w:r>
      <w:r w:rsidRPr="00AD7EBC">
        <w:rPr>
          <w:color w:val="1F487C"/>
          <w:spacing w:val="-1"/>
          <w:lang w:val="en-GB"/>
        </w:rPr>
        <w:t xml:space="preserve"> </w:t>
      </w:r>
      <w:r w:rsidRPr="00AD7EBC">
        <w:rPr>
          <w:color w:val="1F487C"/>
          <w:lang w:val="en-GB"/>
        </w:rPr>
        <w:t>strategy</w:t>
      </w:r>
    </w:p>
    <w:p w14:paraId="4D0C49DA" w14:textId="46B7100F" w:rsidR="00986775" w:rsidRPr="00AD7EBC" w:rsidRDefault="00986775" w:rsidP="00986775">
      <w:pPr>
        <w:jc w:val="both"/>
        <w:rPr>
          <w:lang w:val="en-GB"/>
        </w:rPr>
      </w:pPr>
      <w:r w:rsidRPr="00AD7EBC">
        <w:rPr>
          <w:lang w:val="en-GB"/>
        </w:rPr>
        <w:t>The REALISE “learning agenda” will be used as an organizational learning tool to identifies lessons for programme quality improvement and decision making before during and after project implementation. The proposed learning agenda is aimed at enabling the REALISE project in particular and SCI to be more effectively, efficiently, be flexible and adaptable to the veer changing project implementation context and environment. The agenda will rely heavily on skills and information from M&amp;E, knowledge management, and community building.</w:t>
      </w:r>
    </w:p>
    <w:p w14:paraId="6B7A138C" w14:textId="471808C1" w:rsidR="00986775" w:rsidRPr="00AD7EBC" w:rsidRDefault="00986775" w:rsidP="00986775">
      <w:pPr>
        <w:jc w:val="both"/>
        <w:rPr>
          <w:lang w:val="en-GB"/>
        </w:rPr>
      </w:pPr>
      <w:r w:rsidRPr="00AD7EBC">
        <w:rPr>
          <w:lang w:val="en-GB"/>
        </w:rPr>
        <w:t xml:space="preserve">The </w:t>
      </w:r>
      <w:r w:rsidR="00EE48E3" w:rsidRPr="00AD7EBC">
        <w:rPr>
          <w:lang w:val="en-GB"/>
        </w:rPr>
        <w:t xml:space="preserve">REALISE </w:t>
      </w:r>
      <w:r w:rsidRPr="00AD7EBC">
        <w:rPr>
          <w:lang w:val="en-GB"/>
        </w:rPr>
        <w:t xml:space="preserve">learning agenda will include a set of common steps and activities:  The activities will include but not limited to: </w:t>
      </w:r>
    </w:p>
    <w:p w14:paraId="454CDC84" w14:textId="77777777" w:rsidR="00986775" w:rsidRPr="00AD7EBC" w:rsidRDefault="00986775" w:rsidP="00986775">
      <w:pPr>
        <w:widowControl/>
        <w:numPr>
          <w:ilvl w:val="0"/>
          <w:numId w:val="35"/>
        </w:numPr>
        <w:spacing w:before="100" w:beforeAutospacing="1" w:after="100" w:afterAutospacing="1"/>
        <w:jc w:val="both"/>
        <w:rPr>
          <w:lang w:val="en-GB"/>
        </w:rPr>
      </w:pPr>
      <w:r w:rsidRPr="00AD7EBC">
        <w:rPr>
          <w:lang w:val="en-GB"/>
        </w:rPr>
        <w:t>Convening stakeholders and partners to identify learning information needs</w:t>
      </w:r>
    </w:p>
    <w:p w14:paraId="30B49B21" w14:textId="77777777" w:rsidR="00986775" w:rsidRPr="00AD7EBC" w:rsidRDefault="00986775" w:rsidP="00986775">
      <w:pPr>
        <w:widowControl/>
        <w:numPr>
          <w:ilvl w:val="0"/>
          <w:numId w:val="35"/>
        </w:numPr>
        <w:spacing w:before="100" w:beforeAutospacing="1" w:after="100" w:afterAutospacing="1"/>
        <w:jc w:val="both"/>
        <w:rPr>
          <w:lang w:val="en-GB"/>
        </w:rPr>
      </w:pPr>
      <w:r w:rsidRPr="00AD7EBC">
        <w:rPr>
          <w:lang w:val="en-GB"/>
        </w:rPr>
        <w:t>Identifying, prioritizing and adopt learning questions;</w:t>
      </w:r>
    </w:p>
    <w:p w14:paraId="1BB01F67" w14:textId="77777777" w:rsidR="00986775" w:rsidRPr="00AD7EBC" w:rsidRDefault="00986775" w:rsidP="00986775">
      <w:pPr>
        <w:widowControl/>
        <w:numPr>
          <w:ilvl w:val="0"/>
          <w:numId w:val="35"/>
        </w:numPr>
        <w:spacing w:before="100" w:beforeAutospacing="1" w:after="100" w:afterAutospacing="1"/>
        <w:jc w:val="both"/>
        <w:rPr>
          <w:lang w:val="en-GB"/>
        </w:rPr>
      </w:pPr>
      <w:r w:rsidRPr="00AD7EBC">
        <w:rPr>
          <w:lang w:val="en-GB"/>
        </w:rPr>
        <w:t>Reviewing the literature for what is already known about the topic;</w:t>
      </w:r>
    </w:p>
    <w:p w14:paraId="4EB160CC" w14:textId="77777777" w:rsidR="00986775" w:rsidRPr="00AD7EBC" w:rsidRDefault="00986775" w:rsidP="00986775">
      <w:pPr>
        <w:widowControl/>
        <w:numPr>
          <w:ilvl w:val="0"/>
          <w:numId w:val="35"/>
        </w:numPr>
        <w:spacing w:before="100" w:beforeAutospacing="1" w:after="100" w:afterAutospacing="1"/>
        <w:jc w:val="both"/>
        <w:rPr>
          <w:lang w:val="en-GB"/>
        </w:rPr>
      </w:pPr>
      <w:r w:rsidRPr="00AD7EBC">
        <w:rPr>
          <w:lang w:val="en-GB"/>
        </w:rPr>
        <w:t>Developing a plan for answering those questions</w:t>
      </w:r>
    </w:p>
    <w:p w14:paraId="05DB5CA9" w14:textId="77777777" w:rsidR="00986775" w:rsidRPr="00AD7EBC" w:rsidRDefault="00986775" w:rsidP="00986775">
      <w:pPr>
        <w:widowControl/>
        <w:numPr>
          <w:ilvl w:val="0"/>
          <w:numId w:val="35"/>
        </w:numPr>
        <w:spacing w:before="100" w:beforeAutospacing="1" w:after="100" w:afterAutospacing="1"/>
        <w:jc w:val="both"/>
        <w:rPr>
          <w:lang w:val="en-GB"/>
        </w:rPr>
      </w:pPr>
      <w:r w:rsidRPr="00AD7EBC">
        <w:rPr>
          <w:lang w:val="en-GB"/>
        </w:rPr>
        <w:t xml:space="preserve">Implementing learning activities </w:t>
      </w:r>
    </w:p>
    <w:p w14:paraId="4B7E7E1C" w14:textId="77777777" w:rsidR="00986775" w:rsidRPr="00AD7EBC" w:rsidRDefault="00986775" w:rsidP="00986775">
      <w:pPr>
        <w:widowControl/>
        <w:numPr>
          <w:ilvl w:val="0"/>
          <w:numId w:val="35"/>
        </w:numPr>
        <w:spacing w:before="100" w:beforeAutospacing="1" w:after="100" w:afterAutospacing="1"/>
        <w:jc w:val="both"/>
        <w:rPr>
          <w:lang w:val="en-GB"/>
        </w:rPr>
      </w:pPr>
      <w:r w:rsidRPr="00AD7EBC">
        <w:rPr>
          <w:lang w:val="en-GB"/>
        </w:rPr>
        <w:t>Disseminating the evidence usually through learning products in order to allow the audience to use and apply the findings in their work. </w:t>
      </w:r>
    </w:p>
    <w:p w14:paraId="25843119" w14:textId="41201559" w:rsidR="00EE48E3" w:rsidRPr="00AD7EBC" w:rsidRDefault="00EE48E3" w:rsidP="00EE48E3">
      <w:pPr>
        <w:widowControl/>
        <w:numPr>
          <w:ilvl w:val="0"/>
          <w:numId w:val="35"/>
        </w:numPr>
        <w:spacing w:before="100" w:beforeAutospacing="1" w:after="100" w:afterAutospacing="1"/>
        <w:jc w:val="both"/>
        <w:rPr>
          <w:lang w:val="en-GB"/>
        </w:rPr>
      </w:pPr>
      <w:r w:rsidRPr="00AD7EBC">
        <w:rPr>
          <w:lang w:val="en-GB"/>
        </w:rPr>
        <w:t xml:space="preserve">Working with IDS on thematic research and publications </w:t>
      </w:r>
    </w:p>
    <w:p w14:paraId="0D48C8F3" w14:textId="3C51C647" w:rsidR="00EE48E3" w:rsidRPr="00AD7EBC" w:rsidRDefault="00EE48E3" w:rsidP="00EE48E3">
      <w:pPr>
        <w:widowControl/>
        <w:numPr>
          <w:ilvl w:val="0"/>
          <w:numId w:val="35"/>
        </w:numPr>
        <w:spacing w:before="100" w:beforeAutospacing="1" w:after="100" w:afterAutospacing="1"/>
        <w:jc w:val="both"/>
        <w:rPr>
          <w:lang w:val="en-GB"/>
        </w:rPr>
      </w:pPr>
      <w:r w:rsidRPr="00AD7EBC">
        <w:rPr>
          <w:lang w:val="en-GB"/>
        </w:rPr>
        <w:t xml:space="preserve">Work with Bien </w:t>
      </w:r>
      <w:proofErr w:type="spellStart"/>
      <w:r w:rsidRPr="00AD7EBC">
        <w:rPr>
          <w:lang w:val="en-GB"/>
        </w:rPr>
        <w:t>Grandir</w:t>
      </w:r>
      <w:proofErr w:type="spellEnd"/>
      <w:r w:rsidRPr="00AD7EBC">
        <w:rPr>
          <w:lang w:val="en-GB"/>
        </w:rPr>
        <w:t xml:space="preserve"> research within SCI about gender norms and sexual and reproductive health</w:t>
      </w:r>
    </w:p>
    <w:p w14:paraId="4EB8D349" w14:textId="77777777" w:rsidR="00986775" w:rsidRPr="00AD7EBC" w:rsidRDefault="00986775" w:rsidP="00986775">
      <w:pPr>
        <w:pStyle w:val="BodyText"/>
        <w:spacing w:before="9"/>
        <w:jc w:val="both"/>
        <w:rPr>
          <w:lang w:val="en-GB"/>
        </w:rPr>
      </w:pPr>
      <w:r w:rsidRPr="00AD7EBC">
        <w:rPr>
          <w:lang w:val="en-GB"/>
        </w:rPr>
        <w:t xml:space="preserve">As part of the project’s Theory of Change, the team recognizes that the impact of improving girls’ life chances through education (learning and transition) cannot be achieved through a linear implementation of interventions; it needs to be approached in a holistic way, where different environments and core components are influencing and reinforcing each other. Therefore, teaching quality, positively changing gender and social norms in community, and active and collaborative engagement of the government and local authority are key to the project’s success. </w:t>
      </w:r>
    </w:p>
    <w:p w14:paraId="238E6C91" w14:textId="6EB6A7A0" w:rsidR="00986775" w:rsidRPr="00AD7EBC" w:rsidRDefault="00986775" w:rsidP="00986775">
      <w:pPr>
        <w:spacing w:before="100" w:beforeAutospacing="1" w:after="100" w:afterAutospacing="1"/>
        <w:jc w:val="both"/>
        <w:rPr>
          <w:lang w:val="en-GB"/>
        </w:rPr>
      </w:pPr>
      <w:r w:rsidRPr="00AD7EBC">
        <w:rPr>
          <w:lang w:val="en-GB"/>
        </w:rPr>
        <w:t xml:space="preserve">The </w:t>
      </w:r>
      <w:r w:rsidR="00EE48E3" w:rsidRPr="00AD7EBC">
        <w:rPr>
          <w:lang w:val="en-GB"/>
        </w:rPr>
        <w:t>REALISE</w:t>
      </w:r>
      <w:r w:rsidRPr="00AD7EBC">
        <w:rPr>
          <w:lang w:val="en-GB"/>
        </w:rPr>
        <w:t xml:space="preserve"> learning agenda will be supported by a collaborative approach; which is based on the model that knowledge can be created within a population where members actively interact by sharing experiences.  The learning themes will be aligned to SCI learning focus and will include: (1) Teaching, learning &amp; assessment – Literacy</w:t>
      </w:r>
      <w:r w:rsidR="00BC0501" w:rsidRPr="00AD7EBC">
        <w:rPr>
          <w:lang w:val="en-GB"/>
        </w:rPr>
        <w:t xml:space="preserve"> and numeracy</w:t>
      </w:r>
      <w:r w:rsidRPr="00AD7EBC">
        <w:rPr>
          <w:lang w:val="en-GB"/>
        </w:rPr>
        <w:t>; and (2) Gender Equality &amp; Inclusive Education (includes boys, girls with disabilities etc.)</w:t>
      </w:r>
    </w:p>
    <w:p w14:paraId="29E7B05F" w14:textId="554E20CD" w:rsidR="00986775" w:rsidRPr="00AD7EBC" w:rsidRDefault="00986775" w:rsidP="00986775">
      <w:pPr>
        <w:jc w:val="both"/>
        <w:rPr>
          <w:lang w:val="en-GB"/>
        </w:rPr>
      </w:pPr>
      <w:r w:rsidRPr="00AD7EBC">
        <w:rPr>
          <w:lang w:val="en-GB"/>
        </w:rPr>
        <w:t xml:space="preserve">The </w:t>
      </w:r>
      <w:r w:rsidR="00EE48E3" w:rsidRPr="00AD7EBC">
        <w:rPr>
          <w:lang w:val="en-GB"/>
        </w:rPr>
        <w:t xml:space="preserve">REALISE </w:t>
      </w:r>
      <w:r w:rsidRPr="00AD7EBC">
        <w:rPr>
          <w:lang w:val="en-GB"/>
        </w:rPr>
        <w:t>team will use different approaches and tools to draw on evidence from a variety of sources. This will imply collaborating intentionally with stakeholders for the production and transmission of knowledge—both explicit knowledge and tacit knowledge, conducting participatory action research (PAR), which is a significant methodology for intervention, development and change within groups and communities.</w:t>
      </w:r>
    </w:p>
    <w:p w14:paraId="3866011B" w14:textId="3B9715EE" w:rsidR="00986775" w:rsidRPr="00AD7EBC" w:rsidRDefault="00986775" w:rsidP="00986775">
      <w:pPr>
        <w:jc w:val="both"/>
        <w:rPr>
          <w:lang w:val="en-GB"/>
        </w:rPr>
      </w:pPr>
      <w:r w:rsidRPr="00AD7EBC">
        <w:rPr>
          <w:lang w:val="en-GB"/>
        </w:rPr>
        <w:t xml:space="preserve">The </w:t>
      </w:r>
      <w:r w:rsidR="00EE48E3" w:rsidRPr="00AD7EBC">
        <w:rPr>
          <w:lang w:val="en-GB"/>
        </w:rPr>
        <w:t>REALISE</w:t>
      </w:r>
      <w:r w:rsidRPr="00AD7EBC">
        <w:rPr>
          <w:lang w:val="en-GB"/>
        </w:rPr>
        <w:t xml:space="preserve"> team will also seek to engage stakeholders through the Appreciative inquiry (AI) model to collect </w:t>
      </w:r>
      <w:proofErr w:type="spellStart"/>
      <w:r w:rsidRPr="00AD7EBC">
        <w:rPr>
          <w:lang w:val="en-GB"/>
        </w:rPr>
        <w:t>analyze</w:t>
      </w:r>
      <w:proofErr w:type="spellEnd"/>
      <w:r w:rsidRPr="00AD7EBC">
        <w:rPr>
          <w:lang w:val="en-GB"/>
        </w:rPr>
        <w:t xml:space="preserve"> and disseminate key project lessons</w:t>
      </w:r>
      <w:r w:rsidR="00EE48E3" w:rsidRPr="00AD7EBC">
        <w:rPr>
          <w:lang w:val="en-GB"/>
        </w:rPr>
        <w:t xml:space="preserve"> as well as academic research supported by IDS</w:t>
      </w:r>
      <w:r w:rsidRPr="00AD7EBC">
        <w:rPr>
          <w:lang w:val="en-GB"/>
        </w:rPr>
        <w:t xml:space="preserve">.  The processes will ensure that the stakeholders respond to asking questions qualitatively while sharing challenges, experience and success stories.  The objective is to elucidate the assets and identify problems that concern people enough to want to change in order to help people to generate new ways to address old problems and the will to act on them so that they will be able to build a new future on the present potential. </w:t>
      </w:r>
    </w:p>
    <w:p w14:paraId="3C45456C" w14:textId="77777777" w:rsidR="00986775" w:rsidRPr="00AD7EBC" w:rsidRDefault="00986775" w:rsidP="00986775">
      <w:pPr>
        <w:jc w:val="both"/>
        <w:rPr>
          <w:lang w:val="en-GB"/>
        </w:rPr>
      </w:pPr>
      <w:r w:rsidRPr="00AD7EBC">
        <w:rPr>
          <w:lang w:val="en-GB"/>
        </w:rPr>
        <w:t xml:space="preserve">Collaborative learning activities can include face-to-face conversations, meetings, (online </w:t>
      </w:r>
      <w:r w:rsidRPr="00AD7EBC">
        <w:rPr>
          <w:lang w:val="en-GB"/>
        </w:rPr>
        <w:lastRenderedPageBreak/>
        <w:t xml:space="preserve">forums, etc.). Collaborative writing, group projects, joint problem solving, debates, and methods for examining collaborative learning processes include conversation analysis and statistical discourse analysis. </w:t>
      </w:r>
    </w:p>
    <w:p w14:paraId="48850731" w14:textId="2B321205" w:rsidR="00986775" w:rsidRPr="00AD7EBC" w:rsidRDefault="00986775" w:rsidP="00986775">
      <w:pPr>
        <w:jc w:val="both"/>
        <w:rPr>
          <w:lang w:val="en-GB"/>
        </w:rPr>
      </w:pPr>
      <w:r w:rsidRPr="00AD7EBC">
        <w:rPr>
          <w:lang w:val="en-GB"/>
        </w:rPr>
        <w:t xml:space="preserve">The </w:t>
      </w:r>
      <w:r w:rsidR="00EE48E3" w:rsidRPr="00AD7EBC">
        <w:rPr>
          <w:lang w:val="en-GB"/>
        </w:rPr>
        <w:t xml:space="preserve">REALISE </w:t>
      </w:r>
      <w:r w:rsidRPr="00AD7EBC">
        <w:rPr>
          <w:lang w:val="en-GB"/>
        </w:rPr>
        <w:t>team is committed to use an adaptive management approach, which involves the integration of project design, management, and monitoring to systematically test assumptions in order to adapt and learn. Therefore, the evidence/findings will be used amongst others to:</w:t>
      </w:r>
    </w:p>
    <w:p w14:paraId="3271BD2A" w14:textId="77777777" w:rsidR="00986775" w:rsidRPr="00AD7EBC" w:rsidRDefault="00986775" w:rsidP="00986775">
      <w:pPr>
        <w:pStyle w:val="ListParagraph"/>
        <w:widowControl/>
        <w:numPr>
          <w:ilvl w:val="0"/>
          <w:numId w:val="36"/>
        </w:numPr>
        <w:contextualSpacing/>
        <w:jc w:val="both"/>
        <w:rPr>
          <w:lang w:val="en-GB"/>
        </w:rPr>
      </w:pPr>
      <w:r w:rsidRPr="00AD7EBC">
        <w:rPr>
          <w:lang w:val="en-GB"/>
        </w:rPr>
        <w:t xml:space="preserve">Test assumptions; </w:t>
      </w:r>
    </w:p>
    <w:p w14:paraId="5072D058" w14:textId="77777777" w:rsidR="00986775" w:rsidRPr="00AD7EBC" w:rsidRDefault="00986775" w:rsidP="00986775">
      <w:pPr>
        <w:pStyle w:val="ListParagraph"/>
        <w:widowControl/>
        <w:numPr>
          <w:ilvl w:val="0"/>
          <w:numId w:val="36"/>
        </w:numPr>
        <w:contextualSpacing/>
        <w:jc w:val="both"/>
        <w:rPr>
          <w:lang w:val="en-GB"/>
        </w:rPr>
      </w:pPr>
      <w:r w:rsidRPr="00AD7EBC">
        <w:rPr>
          <w:lang w:val="en-GB"/>
        </w:rPr>
        <w:t xml:space="preserve">Review and reflect on implementation; </w:t>
      </w:r>
    </w:p>
    <w:p w14:paraId="5FAFA2DF" w14:textId="77777777" w:rsidR="00986775" w:rsidRPr="00AD7EBC" w:rsidRDefault="00986775" w:rsidP="00986775">
      <w:pPr>
        <w:pStyle w:val="ListParagraph"/>
        <w:widowControl/>
        <w:numPr>
          <w:ilvl w:val="0"/>
          <w:numId w:val="36"/>
        </w:numPr>
        <w:contextualSpacing/>
        <w:jc w:val="both"/>
        <w:rPr>
          <w:lang w:val="en-GB"/>
        </w:rPr>
      </w:pPr>
      <w:r w:rsidRPr="00AD7EBC">
        <w:rPr>
          <w:lang w:val="en-GB"/>
        </w:rPr>
        <w:t xml:space="preserve">Strategically inform decisions to amend/ adapt programmatic and management components of the project; </w:t>
      </w:r>
    </w:p>
    <w:p w14:paraId="70083C38" w14:textId="77777777" w:rsidR="00986775" w:rsidRPr="00AD7EBC" w:rsidRDefault="00986775" w:rsidP="00986775">
      <w:pPr>
        <w:pStyle w:val="ListParagraph"/>
        <w:widowControl/>
        <w:numPr>
          <w:ilvl w:val="0"/>
          <w:numId w:val="36"/>
        </w:numPr>
        <w:contextualSpacing/>
        <w:jc w:val="both"/>
        <w:rPr>
          <w:lang w:val="en-GB"/>
        </w:rPr>
      </w:pPr>
      <w:r w:rsidRPr="00AD7EBC">
        <w:rPr>
          <w:lang w:val="en-GB"/>
        </w:rPr>
        <w:t xml:space="preserve">To explicitly document planning and implementation processes and its successes and failures in order to avoid a repetition of errors; and </w:t>
      </w:r>
    </w:p>
    <w:p w14:paraId="06FB302D" w14:textId="77777777" w:rsidR="00986775" w:rsidRPr="00AD7EBC" w:rsidRDefault="00986775" w:rsidP="00986775">
      <w:pPr>
        <w:pStyle w:val="ListParagraph"/>
        <w:widowControl/>
        <w:numPr>
          <w:ilvl w:val="0"/>
          <w:numId w:val="36"/>
        </w:numPr>
        <w:contextualSpacing/>
        <w:jc w:val="both"/>
        <w:rPr>
          <w:lang w:val="en-GB"/>
        </w:rPr>
      </w:pPr>
      <w:r w:rsidRPr="00AD7EBC">
        <w:rPr>
          <w:lang w:val="en-GB"/>
        </w:rPr>
        <w:t>To improve strategic thinking and dialog process as well as strategic operations planning</w:t>
      </w:r>
    </w:p>
    <w:p w14:paraId="6D73DD53" w14:textId="77777777" w:rsidR="00986775" w:rsidRPr="00AD7EBC" w:rsidRDefault="00986775" w:rsidP="00986775">
      <w:pPr>
        <w:jc w:val="both"/>
        <w:rPr>
          <w:lang w:val="en-GB"/>
        </w:rPr>
      </w:pPr>
    </w:p>
    <w:p w14:paraId="10FEB516" w14:textId="77777777" w:rsidR="00986775" w:rsidRPr="00AD7EBC" w:rsidRDefault="00986775" w:rsidP="00986775">
      <w:pPr>
        <w:jc w:val="both"/>
        <w:rPr>
          <w:lang w:val="en-GB"/>
        </w:rPr>
      </w:pPr>
    </w:p>
    <w:p w14:paraId="1675D141" w14:textId="77777777" w:rsidR="00986775" w:rsidRPr="00AD7EBC" w:rsidRDefault="00986775" w:rsidP="00986775">
      <w:pPr>
        <w:jc w:val="both"/>
        <w:rPr>
          <w:lang w:val="en-GB"/>
        </w:rPr>
      </w:pPr>
      <w:r w:rsidRPr="00AD7EBC">
        <w:rPr>
          <w:lang w:val="en-GB"/>
        </w:rPr>
        <w:t>To disseminate the results the project will organize workshops at different levels and print materials</w:t>
      </w:r>
    </w:p>
    <w:p w14:paraId="40E9704C" w14:textId="77777777" w:rsidR="00986775" w:rsidRPr="00AD7EBC" w:rsidRDefault="00986775" w:rsidP="00986775">
      <w:pPr>
        <w:jc w:val="both"/>
        <w:rPr>
          <w:lang w:val="en-GB"/>
        </w:rPr>
      </w:pPr>
    </w:p>
    <w:tbl>
      <w:tblPr>
        <w:tblStyle w:val="TableGrid"/>
        <w:tblW w:w="4703" w:type="pct"/>
        <w:tblLook w:val="04A0" w:firstRow="1" w:lastRow="0" w:firstColumn="1" w:lastColumn="0" w:noHBand="0" w:noVBand="1"/>
      </w:tblPr>
      <w:tblGrid>
        <w:gridCol w:w="2171"/>
        <w:gridCol w:w="2862"/>
        <w:gridCol w:w="3974"/>
      </w:tblGrid>
      <w:tr w:rsidR="00986775" w:rsidRPr="00AD7EBC" w14:paraId="44C1CF24" w14:textId="77777777" w:rsidTr="00BC0501">
        <w:tc>
          <w:tcPr>
            <w:tcW w:w="0" w:type="auto"/>
            <w:hideMark/>
          </w:tcPr>
          <w:p w14:paraId="5685EA9A" w14:textId="77777777" w:rsidR="00986775" w:rsidRPr="00AD7EBC" w:rsidRDefault="00986775" w:rsidP="00986775">
            <w:pPr>
              <w:rPr>
                <w:sz w:val="20"/>
                <w:lang w:val="en-GB"/>
              </w:rPr>
            </w:pPr>
            <w:r w:rsidRPr="00AD7EBC">
              <w:rPr>
                <w:sz w:val="20"/>
                <w:lang w:val="en-GB"/>
              </w:rPr>
              <w:t>TARGET GROUP</w:t>
            </w:r>
          </w:p>
        </w:tc>
        <w:tc>
          <w:tcPr>
            <w:tcW w:w="1589" w:type="pct"/>
            <w:hideMark/>
          </w:tcPr>
          <w:p w14:paraId="6A85EB5C" w14:textId="77777777" w:rsidR="00986775" w:rsidRPr="00AD7EBC" w:rsidRDefault="00986775" w:rsidP="00986775">
            <w:pPr>
              <w:rPr>
                <w:sz w:val="20"/>
                <w:lang w:val="en-GB"/>
              </w:rPr>
            </w:pPr>
            <w:r w:rsidRPr="00AD7EBC">
              <w:rPr>
                <w:sz w:val="20"/>
                <w:lang w:val="en-GB"/>
              </w:rPr>
              <w:t>RATIONALE</w:t>
            </w:r>
          </w:p>
        </w:tc>
        <w:tc>
          <w:tcPr>
            <w:tcW w:w="2206" w:type="pct"/>
            <w:hideMark/>
          </w:tcPr>
          <w:p w14:paraId="2EA32B53" w14:textId="77777777" w:rsidR="00986775" w:rsidRPr="00AD7EBC" w:rsidRDefault="00986775" w:rsidP="00986775">
            <w:pPr>
              <w:rPr>
                <w:sz w:val="20"/>
                <w:lang w:val="en-GB"/>
              </w:rPr>
            </w:pPr>
            <w:r w:rsidRPr="00AD7EBC">
              <w:rPr>
                <w:sz w:val="20"/>
                <w:lang w:val="en-GB"/>
              </w:rPr>
              <w:t>EXAMPLES OF TARGETED INSTITUTION</w:t>
            </w:r>
          </w:p>
        </w:tc>
      </w:tr>
      <w:tr w:rsidR="00986775" w:rsidRPr="00AD7EBC" w14:paraId="475F79C3" w14:textId="77777777" w:rsidTr="00BC0501">
        <w:tc>
          <w:tcPr>
            <w:tcW w:w="0" w:type="auto"/>
          </w:tcPr>
          <w:p w14:paraId="5A347690" w14:textId="43979381" w:rsidR="00986775" w:rsidRPr="00AD7EBC" w:rsidRDefault="00EE48E3" w:rsidP="00986775">
            <w:pPr>
              <w:rPr>
                <w:sz w:val="20"/>
                <w:lang w:val="en-GB"/>
              </w:rPr>
            </w:pPr>
            <w:r w:rsidRPr="00AD7EBC">
              <w:rPr>
                <w:sz w:val="20"/>
                <w:lang w:val="en-GB"/>
              </w:rPr>
              <w:t>REALISE</w:t>
            </w:r>
            <w:r w:rsidR="00986775" w:rsidRPr="00AD7EBC">
              <w:rPr>
                <w:sz w:val="20"/>
                <w:lang w:val="en-GB"/>
              </w:rPr>
              <w:t xml:space="preserve"> Project Staff</w:t>
            </w:r>
          </w:p>
        </w:tc>
        <w:tc>
          <w:tcPr>
            <w:tcW w:w="1589" w:type="pct"/>
          </w:tcPr>
          <w:p w14:paraId="29B54E07" w14:textId="77777777" w:rsidR="00986775" w:rsidRPr="00AD7EBC" w:rsidRDefault="00986775" w:rsidP="00986775">
            <w:pPr>
              <w:rPr>
                <w:sz w:val="20"/>
                <w:lang w:val="en-GB"/>
              </w:rPr>
            </w:pPr>
            <w:r w:rsidRPr="00AD7EBC">
              <w:rPr>
                <w:sz w:val="20"/>
                <w:lang w:val="en-GB"/>
              </w:rPr>
              <w:t>To learn from implementation and improve quality</w:t>
            </w:r>
          </w:p>
        </w:tc>
        <w:tc>
          <w:tcPr>
            <w:tcW w:w="2206" w:type="pct"/>
          </w:tcPr>
          <w:p w14:paraId="2B7F229C" w14:textId="64248154" w:rsidR="00986775" w:rsidRPr="00AD7EBC" w:rsidRDefault="00EE48E3" w:rsidP="00986775">
            <w:pPr>
              <w:rPr>
                <w:sz w:val="20"/>
                <w:lang w:val="en-GB"/>
              </w:rPr>
            </w:pPr>
            <w:r w:rsidRPr="00AD7EBC">
              <w:rPr>
                <w:sz w:val="20"/>
                <w:lang w:val="en-GB"/>
              </w:rPr>
              <w:t>Consortium</w:t>
            </w:r>
            <w:r w:rsidR="00986775" w:rsidRPr="00AD7EBC">
              <w:rPr>
                <w:sz w:val="20"/>
                <w:lang w:val="en-GB"/>
              </w:rPr>
              <w:t xml:space="preserve"> management team, Provincial teams</w:t>
            </w:r>
          </w:p>
        </w:tc>
      </w:tr>
      <w:tr w:rsidR="00986775" w:rsidRPr="00AD7EBC" w14:paraId="35B0EBEB" w14:textId="77777777" w:rsidTr="00BC0501">
        <w:tc>
          <w:tcPr>
            <w:tcW w:w="0" w:type="auto"/>
          </w:tcPr>
          <w:p w14:paraId="34CF056F" w14:textId="77777777" w:rsidR="00986775" w:rsidRPr="00AD7EBC" w:rsidRDefault="00986775" w:rsidP="00986775">
            <w:pPr>
              <w:rPr>
                <w:sz w:val="20"/>
                <w:lang w:val="en-GB"/>
              </w:rPr>
            </w:pPr>
            <w:r w:rsidRPr="00AD7EBC">
              <w:rPr>
                <w:sz w:val="20"/>
                <w:lang w:val="en-GB"/>
              </w:rPr>
              <w:t>GEC Donor and Fund Manager</w:t>
            </w:r>
          </w:p>
        </w:tc>
        <w:tc>
          <w:tcPr>
            <w:tcW w:w="1589" w:type="pct"/>
          </w:tcPr>
          <w:p w14:paraId="051033C4" w14:textId="77777777" w:rsidR="00986775" w:rsidRPr="00AD7EBC" w:rsidRDefault="00986775" w:rsidP="00986775">
            <w:pPr>
              <w:rPr>
                <w:sz w:val="20"/>
                <w:lang w:val="en-GB"/>
              </w:rPr>
            </w:pPr>
            <w:r w:rsidRPr="00AD7EBC">
              <w:rPr>
                <w:sz w:val="20"/>
                <w:lang w:val="en-GB"/>
              </w:rPr>
              <w:t xml:space="preserve">Core group </w:t>
            </w:r>
          </w:p>
        </w:tc>
        <w:tc>
          <w:tcPr>
            <w:tcW w:w="2206" w:type="pct"/>
          </w:tcPr>
          <w:p w14:paraId="599EA1C5" w14:textId="77777777" w:rsidR="00986775" w:rsidRPr="00AD7EBC" w:rsidRDefault="00986775" w:rsidP="00986775">
            <w:pPr>
              <w:rPr>
                <w:sz w:val="20"/>
                <w:lang w:val="en-GB"/>
              </w:rPr>
            </w:pPr>
            <w:r w:rsidRPr="00AD7EBC">
              <w:rPr>
                <w:sz w:val="20"/>
                <w:lang w:val="en-GB"/>
              </w:rPr>
              <w:t>DFID and PWC</w:t>
            </w:r>
          </w:p>
        </w:tc>
      </w:tr>
      <w:tr w:rsidR="00986775" w:rsidRPr="00AD7EBC" w14:paraId="7B743CFC" w14:textId="77777777" w:rsidTr="00BC0501">
        <w:tc>
          <w:tcPr>
            <w:tcW w:w="0" w:type="auto"/>
          </w:tcPr>
          <w:p w14:paraId="5F5758AE" w14:textId="77777777" w:rsidR="00986775" w:rsidRPr="00AD7EBC" w:rsidRDefault="00986775" w:rsidP="00986775">
            <w:pPr>
              <w:rPr>
                <w:sz w:val="20"/>
                <w:lang w:val="en-GB"/>
              </w:rPr>
            </w:pPr>
            <w:r w:rsidRPr="00AD7EBC">
              <w:rPr>
                <w:sz w:val="20"/>
                <w:lang w:val="en-GB"/>
              </w:rPr>
              <w:t>SCI STAFF</w:t>
            </w:r>
          </w:p>
        </w:tc>
        <w:tc>
          <w:tcPr>
            <w:tcW w:w="1589" w:type="pct"/>
          </w:tcPr>
          <w:p w14:paraId="34F201E6" w14:textId="67825020" w:rsidR="00986775" w:rsidRPr="00AD7EBC" w:rsidRDefault="00986775" w:rsidP="00986775">
            <w:pPr>
              <w:rPr>
                <w:sz w:val="20"/>
                <w:lang w:val="en-GB"/>
              </w:rPr>
            </w:pPr>
            <w:r w:rsidRPr="00AD7EBC">
              <w:rPr>
                <w:sz w:val="20"/>
                <w:lang w:val="en-GB"/>
              </w:rPr>
              <w:t xml:space="preserve">Education, social protection, </w:t>
            </w:r>
            <w:r w:rsidR="00EE48E3" w:rsidRPr="00AD7EBC">
              <w:rPr>
                <w:sz w:val="20"/>
                <w:lang w:val="en-GB"/>
              </w:rPr>
              <w:t xml:space="preserve">gender and sexual and reproductive health, </w:t>
            </w:r>
            <w:r w:rsidRPr="00AD7EBC">
              <w:rPr>
                <w:sz w:val="20"/>
                <w:lang w:val="en-GB"/>
              </w:rPr>
              <w:t xml:space="preserve">child participation and protection core group </w:t>
            </w:r>
          </w:p>
        </w:tc>
        <w:tc>
          <w:tcPr>
            <w:tcW w:w="2206" w:type="pct"/>
          </w:tcPr>
          <w:p w14:paraId="433FA39B" w14:textId="77777777" w:rsidR="00986775" w:rsidRPr="00AD7EBC" w:rsidRDefault="00986775" w:rsidP="00986775">
            <w:pPr>
              <w:rPr>
                <w:sz w:val="20"/>
                <w:lang w:val="en-GB"/>
              </w:rPr>
            </w:pPr>
            <w:r w:rsidRPr="00AD7EBC">
              <w:rPr>
                <w:sz w:val="20"/>
                <w:lang w:val="en-GB"/>
              </w:rPr>
              <w:t>International and national SCI staff</w:t>
            </w:r>
          </w:p>
        </w:tc>
      </w:tr>
      <w:tr w:rsidR="00986775" w:rsidRPr="00AD7EBC" w14:paraId="45C95BDF" w14:textId="77777777" w:rsidTr="00BC0501">
        <w:tc>
          <w:tcPr>
            <w:tcW w:w="0" w:type="auto"/>
            <w:hideMark/>
          </w:tcPr>
          <w:p w14:paraId="35547AEC" w14:textId="77777777" w:rsidR="00986775" w:rsidRPr="00AD7EBC" w:rsidRDefault="00986775" w:rsidP="00986775">
            <w:pPr>
              <w:rPr>
                <w:sz w:val="20"/>
                <w:lang w:val="en-GB"/>
              </w:rPr>
            </w:pPr>
            <w:r w:rsidRPr="00AD7EBC">
              <w:rPr>
                <w:sz w:val="20"/>
                <w:lang w:val="en-GB"/>
              </w:rPr>
              <w:t>Education and Social Action Institutions</w:t>
            </w:r>
          </w:p>
        </w:tc>
        <w:tc>
          <w:tcPr>
            <w:tcW w:w="1589" w:type="pct"/>
            <w:hideMark/>
          </w:tcPr>
          <w:p w14:paraId="04FC6E74" w14:textId="77777777" w:rsidR="00986775" w:rsidRPr="00AD7EBC" w:rsidRDefault="00986775" w:rsidP="00986775">
            <w:pPr>
              <w:rPr>
                <w:sz w:val="20"/>
                <w:lang w:val="en-GB"/>
              </w:rPr>
            </w:pPr>
            <w:r w:rsidRPr="00AD7EBC">
              <w:rPr>
                <w:sz w:val="20"/>
                <w:lang w:val="en-GB"/>
              </w:rPr>
              <w:t xml:space="preserve">Responsible for Education, Gender and Social Protection policy and national program </w:t>
            </w:r>
          </w:p>
        </w:tc>
        <w:tc>
          <w:tcPr>
            <w:tcW w:w="2206" w:type="pct"/>
            <w:hideMark/>
          </w:tcPr>
          <w:p w14:paraId="63260CE3" w14:textId="2CE3090B" w:rsidR="00986775" w:rsidRPr="00AD7EBC" w:rsidRDefault="00EE48E3" w:rsidP="00EE48E3">
            <w:pPr>
              <w:rPr>
                <w:sz w:val="20"/>
                <w:lang w:val="en-GB"/>
              </w:rPr>
            </w:pPr>
            <w:r w:rsidRPr="00AD7EBC">
              <w:rPr>
                <w:sz w:val="20"/>
                <w:lang w:val="en-GB"/>
              </w:rPr>
              <w:t xml:space="preserve">Education Ministry at National, and provincial, Ministry of Social </w:t>
            </w:r>
            <w:proofErr w:type="spellStart"/>
            <w:r w:rsidRPr="00AD7EBC">
              <w:rPr>
                <w:sz w:val="20"/>
                <w:lang w:val="en-GB"/>
              </w:rPr>
              <w:t>Affaires</w:t>
            </w:r>
            <w:proofErr w:type="spellEnd"/>
            <w:r w:rsidRPr="00AD7EBC">
              <w:rPr>
                <w:sz w:val="20"/>
                <w:lang w:val="en-GB"/>
              </w:rPr>
              <w:t>, Ministry of Gender Family and Children, Notional Program on Adolescent health.</w:t>
            </w:r>
          </w:p>
        </w:tc>
      </w:tr>
      <w:tr w:rsidR="00986775" w:rsidRPr="00AD7EBC" w14:paraId="2CDEA55B" w14:textId="77777777" w:rsidTr="00BC0501">
        <w:tc>
          <w:tcPr>
            <w:tcW w:w="0" w:type="auto"/>
            <w:hideMark/>
          </w:tcPr>
          <w:p w14:paraId="58D65A12" w14:textId="77777777" w:rsidR="00986775" w:rsidRPr="00AD7EBC" w:rsidRDefault="00986775" w:rsidP="00986775">
            <w:pPr>
              <w:rPr>
                <w:sz w:val="20"/>
                <w:lang w:val="en-GB"/>
              </w:rPr>
            </w:pPr>
            <w:r w:rsidRPr="00AD7EBC">
              <w:rPr>
                <w:sz w:val="20"/>
                <w:lang w:val="en-GB"/>
              </w:rPr>
              <w:t>International Organizations</w:t>
            </w:r>
          </w:p>
        </w:tc>
        <w:tc>
          <w:tcPr>
            <w:tcW w:w="1589" w:type="pct"/>
            <w:hideMark/>
          </w:tcPr>
          <w:p w14:paraId="324A3922" w14:textId="77777777" w:rsidR="00986775" w:rsidRPr="00AD7EBC" w:rsidRDefault="00986775" w:rsidP="00986775">
            <w:pPr>
              <w:rPr>
                <w:sz w:val="20"/>
                <w:lang w:val="en-GB"/>
              </w:rPr>
            </w:pPr>
            <w:r w:rsidRPr="00AD7EBC">
              <w:rPr>
                <w:sz w:val="20"/>
                <w:lang w:val="en-GB"/>
              </w:rPr>
              <w:t>Work groups, steering committees at national level</w:t>
            </w:r>
          </w:p>
        </w:tc>
        <w:tc>
          <w:tcPr>
            <w:tcW w:w="2206" w:type="pct"/>
            <w:hideMark/>
          </w:tcPr>
          <w:p w14:paraId="647EA9F6" w14:textId="77777777" w:rsidR="00986775" w:rsidRPr="00AD7EBC" w:rsidRDefault="00986775" w:rsidP="00986775">
            <w:pPr>
              <w:rPr>
                <w:sz w:val="20"/>
                <w:lang w:val="en-GB"/>
              </w:rPr>
            </w:pPr>
          </w:p>
          <w:p w14:paraId="6A4B2FAF" w14:textId="24584F49" w:rsidR="00986775" w:rsidRPr="00AD7EBC" w:rsidRDefault="00EE48E3" w:rsidP="00986775">
            <w:pPr>
              <w:rPr>
                <w:sz w:val="20"/>
                <w:lang w:val="en-GB"/>
              </w:rPr>
            </w:pPr>
            <w:r w:rsidRPr="00AD7EBC">
              <w:rPr>
                <w:sz w:val="20"/>
                <w:lang w:val="en-GB"/>
              </w:rPr>
              <w:t>Education Cluster, Education thematic group</w:t>
            </w:r>
          </w:p>
          <w:p w14:paraId="61714D4D" w14:textId="77777777" w:rsidR="00986775" w:rsidRPr="00AD7EBC" w:rsidRDefault="00986775" w:rsidP="00986775">
            <w:pPr>
              <w:rPr>
                <w:sz w:val="20"/>
                <w:lang w:val="en-GB"/>
              </w:rPr>
            </w:pPr>
            <w:r w:rsidRPr="00AD7EBC">
              <w:rPr>
                <w:sz w:val="20"/>
                <w:lang w:val="en-GB"/>
              </w:rPr>
              <w:t xml:space="preserve"> </w:t>
            </w:r>
          </w:p>
          <w:p w14:paraId="52AF5F0F" w14:textId="77777777" w:rsidR="00986775" w:rsidRPr="00AD7EBC" w:rsidRDefault="00986775" w:rsidP="00986775">
            <w:pPr>
              <w:rPr>
                <w:sz w:val="20"/>
                <w:lang w:val="en-GB"/>
              </w:rPr>
            </w:pPr>
          </w:p>
        </w:tc>
      </w:tr>
      <w:tr w:rsidR="00986775" w:rsidRPr="00AD7EBC" w14:paraId="133F3881" w14:textId="77777777" w:rsidTr="00BC0501">
        <w:tc>
          <w:tcPr>
            <w:tcW w:w="0" w:type="auto"/>
            <w:hideMark/>
          </w:tcPr>
          <w:p w14:paraId="747A64E7" w14:textId="77777777" w:rsidR="00986775" w:rsidRPr="00AD7EBC" w:rsidRDefault="00986775" w:rsidP="00986775">
            <w:pPr>
              <w:rPr>
                <w:sz w:val="20"/>
                <w:lang w:val="en-GB"/>
              </w:rPr>
            </w:pPr>
            <w:r w:rsidRPr="00AD7EBC">
              <w:rPr>
                <w:sz w:val="20"/>
                <w:lang w:val="en-GB"/>
              </w:rPr>
              <w:t>Universities</w:t>
            </w:r>
          </w:p>
        </w:tc>
        <w:tc>
          <w:tcPr>
            <w:tcW w:w="1589" w:type="pct"/>
            <w:hideMark/>
          </w:tcPr>
          <w:p w14:paraId="167DF1C0" w14:textId="77777777" w:rsidR="00986775" w:rsidRPr="00AD7EBC" w:rsidRDefault="00986775" w:rsidP="00986775">
            <w:pPr>
              <w:rPr>
                <w:sz w:val="20"/>
                <w:lang w:val="en-GB"/>
              </w:rPr>
            </w:pPr>
            <w:r w:rsidRPr="00AD7EBC">
              <w:rPr>
                <w:sz w:val="20"/>
                <w:lang w:val="en-GB"/>
              </w:rPr>
              <w:t xml:space="preserve">Leading of educations and social science program </w:t>
            </w:r>
          </w:p>
        </w:tc>
        <w:tc>
          <w:tcPr>
            <w:tcW w:w="2206" w:type="pct"/>
            <w:hideMark/>
          </w:tcPr>
          <w:p w14:paraId="78B001BA" w14:textId="39B9AC01" w:rsidR="00986775" w:rsidRPr="00AD7EBC" w:rsidRDefault="00EE48E3" w:rsidP="00986775">
            <w:pPr>
              <w:rPr>
                <w:sz w:val="20"/>
                <w:lang w:val="en-GB"/>
              </w:rPr>
            </w:pPr>
            <w:r w:rsidRPr="00AD7EBC">
              <w:rPr>
                <w:sz w:val="20"/>
                <w:lang w:val="en-GB"/>
              </w:rPr>
              <w:t xml:space="preserve">IDS </w:t>
            </w:r>
          </w:p>
        </w:tc>
      </w:tr>
      <w:tr w:rsidR="00986775" w:rsidRPr="00AD7EBC" w14:paraId="60F70275" w14:textId="77777777" w:rsidTr="00BC0501">
        <w:tc>
          <w:tcPr>
            <w:tcW w:w="0" w:type="auto"/>
            <w:hideMark/>
          </w:tcPr>
          <w:p w14:paraId="7B67711F" w14:textId="77777777" w:rsidR="00986775" w:rsidRPr="00AD7EBC" w:rsidRDefault="00986775" w:rsidP="00986775">
            <w:pPr>
              <w:rPr>
                <w:sz w:val="20"/>
                <w:lang w:val="en-GB"/>
              </w:rPr>
            </w:pPr>
            <w:r w:rsidRPr="00AD7EBC">
              <w:rPr>
                <w:sz w:val="20"/>
                <w:lang w:val="en-GB"/>
              </w:rPr>
              <w:t>International and national NGOs</w:t>
            </w:r>
          </w:p>
        </w:tc>
        <w:tc>
          <w:tcPr>
            <w:tcW w:w="1589" w:type="pct"/>
            <w:hideMark/>
          </w:tcPr>
          <w:p w14:paraId="4A6B9E4F" w14:textId="77777777" w:rsidR="00986775" w:rsidRPr="00AD7EBC" w:rsidRDefault="00986775" w:rsidP="00986775">
            <w:pPr>
              <w:rPr>
                <w:sz w:val="20"/>
                <w:lang w:val="en-GB"/>
              </w:rPr>
            </w:pPr>
            <w:r w:rsidRPr="00AD7EBC">
              <w:rPr>
                <w:sz w:val="20"/>
                <w:lang w:val="en-GB"/>
              </w:rPr>
              <w:t>Development as core of their activities</w:t>
            </w:r>
          </w:p>
        </w:tc>
        <w:tc>
          <w:tcPr>
            <w:tcW w:w="2206" w:type="pct"/>
            <w:hideMark/>
          </w:tcPr>
          <w:p w14:paraId="1DA513D8" w14:textId="77777777" w:rsidR="00986775" w:rsidRPr="00AD7EBC" w:rsidRDefault="00986775" w:rsidP="00986775">
            <w:pPr>
              <w:rPr>
                <w:sz w:val="20"/>
                <w:lang w:val="en-GB"/>
              </w:rPr>
            </w:pPr>
            <w:r w:rsidRPr="00AD7EBC">
              <w:rPr>
                <w:sz w:val="20"/>
                <w:lang w:val="en-GB"/>
              </w:rPr>
              <w:t xml:space="preserve">Members of Network and coalitions of Education </w:t>
            </w:r>
            <w:proofErr w:type="gramStart"/>
            <w:r w:rsidRPr="00AD7EBC">
              <w:rPr>
                <w:sz w:val="20"/>
                <w:lang w:val="en-GB"/>
              </w:rPr>
              <w:t>For</w:t>
            </w:r>
            <w:proofErr w:type="gramEnd"/>
            <w:r w:rsidRPr="00AD7EBC">
              <w:rPr>
                <w:sz w:val="20"/>
                <w:lang w:val="en-GB"/>
              </w:rPr>
              <w:t xml:space="preserve"> All, Girls not Bride, UN women  </w:t>
            </w:r>
          </w:p>
        </w:tc>
      </w:tr>
    </w:tbl>
    <w:p w14:paraId="790534FE" w14:textId="1366A2D2" w:rsidR="00986775" w:rsidRPr="00910C5C" w:rsidRDefault="00986775" w:rsidP="00910C5C">
      <w:pPr>
        <w:jc w:val="both"/>
        <w:rPr>
          <w:rFonts w:asciiTheme="minorHAnsi" w:eastAsia="Times New Roman" w:hAnsiTheme="minorHAnsi" w:cstheme="minorHAnsi"/>
          <w:sz w:val="24"/>
          <w:szCs w:val="24"/>
          <w:lang w:val="en-GB"/>
        </w:rPr>
      </w:pPr>
      <w:r w:rsidRPr="00AD7EBC">
        <w:rPr>
          <w:rFonts w:asciiTheme="minorHAnsi" w:eastAsia="Times New Roman" w:hAnsiTheme="minorHAnsi" w:cstheme="minorHAnsi"/>
          <w:sz w:val="24"/>
          <w:szCs w:val="24"/>
          <w:lang w:val="en-GB"/>
        </w:rPr>
        <w:t> </w:t>
      </w:r>
    </w:p>
    <w:p w14:paraId="57CEF214" w14:textId="5B45D5D3" w:rsidR="00986775" w:rsidRPr="00AD7EBC" w:rsidRDefault="00986775" w:rsidP="00986775">
      <w:pPr>
        <w:pStyle w:val="BodyText"/>
        <w:spacing w:before="9"/>
        <w:ind w:left="142"/>
        <w:jc w:val="both"/>
        <w:rPr>
          <w:lang w:val="en-GB"/>
        </w:rPr>
      </w:pPr>
      <w:r w:rsidRPr="00AD7EBC">
        <w:rPr>
          <w:lang w:val="en-GB"/>
        </w:rPr>
        <w:t xml:space="preserve">Throughout the life of the project, the project team will undertake the exercise of </w:t>
      </w:r>
      <w:proofErr w:type="gramStart"/>
      <w:r w:rsidRPr="00AD7EBC">
        <w:rPr>
          <w:lang w:val="en-GB"/>
        </w:rPr>
        <w:t>stakeholders</w:t>
      </w:r>
      <w:proofErr w:type="gramEnd"/>
      <w:r w:rsidRPr="00AD7EBC">
        <w:rPr>
          <w:lang w:val="en-GB"/>
        </w:rPr>
        <w:t xml:space="preserve"> analysis every </w:t>
      </w:r>
      <w:r w:rsidR="00EE48E3" w:rsidRPr="00AD7EBC">
        <w:rPr>
          <w:lang w:val="en-GB"/>
        </w:rPr>
        <w:t xml:space="preserve">year </w:t>
      </w:r>
      <w:r w:rsidRPr="00AD7EBC">
        <w:rPr>
          <w:lang w:val="en-GB"/>
        </w:rPr>
        <w:t xml:space="preserve">to validate and see whether each key stakeholder’s position still holds true. Based on the results, the team will re-assess their interventions and reach strategy to ensure that the key stakeholders move towards the ‘ideal scenario’ of where the project believes they can best contribute and act to promote girls’ education and girls’ rights. Some stakeholders such as </w:t>
      </w:r>
      <w:r w:rsidR="00EE48E3" w:rsidRPr="00AD7EBC">
        <w:rPr>
          <w:lang w:val="en-GB"/>
        </w:rPr>
        <w:t>teachers, head teachers, club</w:t>
      </w:r>
      <w:r w:rsidRPr="00AD7EBC">
        <w:rPr>
          <w:lang w:val="en-GB"/>
        </w:rPr>
        <w:t xml:space="preserve"> leaders, girls, coaches of TPD, and parents will be best placed to contribute to learning about change that is happening or not happening in the field, either through observations or informal interviews of project staff in the </w:t>
      </w:r>
      <w:r w:rsidRPr="00AD7EBC">
        <w:rPr>
          <w:lang w:val="en-GB"/>
        </w:rPr>
        <w:lastRenderedPageBreak/>
        <w:t xml:space="preserve">field, or through specific evaluation points and monitoring activities. </w:t>
      </w:r>
    </w:p>
    <w:p w14:paraId="3929C235" w14:textId="77777777" w:rsidR="00986775" w:rsidRPr="00AD7EBC" w:rsidRDefault="00986775" w:rsidP="00986775">
      <w:pPr>
        <w:pStyle w:val="BodyText"/>
        <w:spacing w:before="9"/>
        <w:ind w:left="142"/>
        <w:jc w:val="both"/>
        <w:rPr>
          <w:lang w:val="en-GB"/>
        </w:rPr>
      </w:pPr>
    </w:p>
    <w:p w14:paraId="120C3609" w14:textId="0A8DE4AB" w:rsidR="00986775" w:rsidRPr="00AD7EBC" w:rsidRDefault="00986775" w:rsidP="00986775">
      <w:pPr>
        <w:pStyle w:val="BodyText"/>
        <w:spacing w:before="9"/>
        <w:ind w:left="142"/>
        <w:jc w:val="both"/>
        <w:rPr>
          <w:lang w:val="en-GB"/>
        </w:rPr>
      </w:pPr>
      <w:r w:rsidRPr="00AD7EBC">
        <w:rPr>
          <w:lang w:val="en-GB"/>
        </w:rPr>
        <w:t>The project will also set up an accountability strategy through a feedback and complaint response mechanism (CRM), which will allow beneficiaries, partners and other stakeholders to not only share their complaints about the project with the project team, but also share feedback on interventions. This feedback could include recommendations and suggestions on improving or adapting specific activities. The project team is required to acknowledge all feedback and complaints received through the CRM, and address and give a response to the complaints on a timely basis. To set up the CRM in the community and at school level, the project staff will involve the stakeholders and decide collaboratively with them which CRM tools to put in place that are the most appropriate for them. This will not only ensure buy-in and usage, but also strengthen relationships. More informally, the project expects the provincial managers and other field staff, including the MEAL officers, to engage with the stakeholders at the field level to gather insights during monitoring visits, and write an observational report once back in the office to share with the core project team</w:t>
      </w:r>
      <w:r w:rsidR="00EE48E3" w:rsidRPr="00AD7EBC">
        <w:rPr>
          <w:lang w:val="en-GB"/>
        </w:rPr>
        <w:t xml:space="preserve"> in Kinshasa</w:t>
      </w:r>
      <w:r w:rsidRPr="00AD7EBC">
        <w:rPr>
          <w:lang w:val="en-GB"/>
        </w:rPr>
        <w:t xml:space="preserve">. </w:t>
      </w:r>
    </w:p>
    <w:p w14:paraId="7981B562" w14:textId="67D9AF82" w:rsidR="00986775" w:rsidRPr="00AD7EBC" w:rsidRDefault="00986775" w:rsidP="00986775">
      <w:pPr>
        <w:pStyle w:val="BodyText"/>
        <w:spacing w:before="9"/>
        <w:ind w:left="142"/>
        <w:jc w:val="both"/>
        <w:rPr>
          <w:lang w:val="en-GB"/>
        </w:rPr>
      </w:pPr>
      <w:r w:rsidRPr="00AD7EBC">
        <w:rPr>
          <w:lang w:val="en-GB"/>
        </w:rPr>
        <w:t xml:space="preserve">In addition to generating operational learning from the project, the team will also join </w:t>
      </w:r>
      <w:r w:rsidR="008A4E11" w:rsidRPr="00AD7EBC">
        <w:rPr>
          <w:lang w:val="en-GB"/>
        </w:rPr>
        <w:t>2</w:t>
      </w:r>
      <w:r w:rsidRPr="00AD7EBC">
        <w:rPr>
          <w:lang w:val="en-GB"/>
        </w:rPr>
        <w:t xml:space="preserve"> core learning clusters, which are GEC-wide thematic groups</w:t>
      </w:r>
      <w:r w:rsidR="008A4E11" w:rsidRPr="00AD7EBC">
        <w:rPr>
          <w:lang w:val="en-GB"/>
        </w:rPr>
        <w:t xml:space="preserve"> while continuing to learn and share from all cluster</w:t>
      </w:r>
      <w:r w:rsidRPr="00AD7EBC">
        <w:rPr>
          <w:lang w:val="en-GB"/>
        </w:rPr>
        <w:t xml:space="preserve">: </w:t>
      </w:r>
    </w:p>
    <w:p w14:paraId="1E058AF8" w14:textId="2DE0D5D1" w:rsidR="008A4E11" w:rsidRPr="00AD7EBC" w:rsidRDefault="00986775" w:rsidP="008A4E11">
      <w:pPr>
        <w:pStyle w:val="BodyText"/>
        <w:numPr>
          <w:ilvl w:val="0"/>
          <w:numId w:val="28"/>
        </w:numPr>
        <w:spacing w:before="9"/>
        <w:jc w:val="both"/>
        <w:rPr>
          <w:lang w:val="en-GB"/>
        </w:rPr>
      </w:pPr>
      <w:r w:rsidRPr="00AD7EBC">
        <w:rPr>
          <w:lang w:val="en-GB"/>
        </w:rPr>
        <w:t>Teaching, learning &amp; assessment –</w:t>
      </w:r>
      <w:r w:rsidR="008A4E11" w:rsidRPr="00AD7EBC">
        <w:rPr>
          <w:lang w:val="en-GB"/>
        </w:rPr>
        <w:t xml:space="preserve"> Numeracy</w:t>
      </w:r>
    </w:p>
    <w:p w14:paraId="57F6C081" w14:textId="55B1178C" w:rsidR="008A4E11" w:rsidRPr="00AD7EBC" w:rsidRDefault="008A4E11" w:rsidP="008A4E11">
      <w:pPr>
        <w:pStyle w:val="BodyText"/>
        <w:numPr>
          <w:ilvl w:val="0"/>
          <w:numId w:val="28"/>
        </w:numPr>
        <w:spacing w:before="9"/>
        <w:jc w:val="both"/>
        <w:rPr>
          <w:lang w:val="en-GB"/>
        </w:rPr>
      </w:pPr>
      <w:r w:rsidRPr="00AD7EBC">
        <w:rPr>
          <w:lang w:val="en-GB"/>
        </w:rPr>
        <w:t>Social norms around education</w:t>
      </w:r>
    </w:p>
    <w:p w14:paraId="5FD2C7A4" w14:textId="679903F1" w:rsidR="007C7D0F" w:rsidRPr="00AD7EBC" w:rsidRDefault="007C7D0F" w:rsidP="007C7D0F">
      <w:pPr>
        <w:pStyle w:val="BodyText"/>
        <w:spacing w:before="9"/>
        <w:rPr>
          <w:sz w:val="20"/>
          <w:lang w:val="en-GB"/>
        </w:rPr>
      </w:pPr>
    </w:p>
    <w:p w14:paraId="3441BDBD" w14:textId="77777777" w:rsidR="007C7D0F" w:rsidRPr="00AD7EBC" w:rsidRDefault="007C7D0F" w:rsidP="007C7D0F">
      <w:pPr>
        <w:pStyle w:val="ListParagraph"/>
        <w:numPr>
          <w:ilvl w:val="1"/>
          <w:numId w:val="3"/>
        </w:numPr>
        <w:tabs>
          <w:tab w:val="left" w:pos="821"/>
        </w:tabs>
        <w:jc w:val="both"/>
        <w:rPr>
          <w:lang w:val="en-GB"/>
        </w:rPr>
      </w:pPr>
      <w:r w:rsidRPr="00AD7EBC">
        <w:rPr>
          <w:color w:val="1F487C"/>
          <w:lang w:val="en-GB"/>
        </w:rPr>
        <w:t>Stakeholder engagement, dissemination and</w:t>
      </w:r>
      <w:r w:rsidRPr="00AD7EBC">
        <w:rPr>
          <w:color w:val="1F487C"/>
          <w:spacing w:val="-14"/>
          <w:lang w:val="en-GB"/>
        </w:rPr>
        <w:t xml:space="preserve"> </w:t>
      </w:r>
      <w:r w:rsidRPr="00AD7EBC">
        <w:rPr>
          <w:color w:val="1F487C"/>
          <w:lang w:val="en-GB"/>
        </w:rPr>
        <w:t>influencing</w:t>
      </w:r>
    </w:p>
    <w:p w14:paraId="6915B958" w14:textId="77777777" w:rsidR="008A4E11" w:rsidRPr="00AD7EBC" w:rsidRDefault="008A4E11" w:rsidP="007C7D0F">
      <w:pPr>
        <w:pStyle w:val="BodyText"/>
        <w:spacing w:before="37"/>
        <w:ind w:left="100" w:right="120"/>
        <w:jc w:val="both"/>
        <w:rPr>
          <w:i/>
          <w:sz w:val="20"/>
          <w:lang w:val="en-GB"/>
        </w:rPr>
      </w:pPr>
    </w:p>
    <w:p w14:paraId="34821EC5" w14:textId="733E0E53" w:rsidR="008A4E11" w:rsidRPr="00AD7EBC" w:rsidRDefault="008A4E11" w:rsidP="008A4E11">
      <w:pPr>
        <w:pStyle w:val="BodyText"/>
        <w:spacing w:before="9"/>
        <w:ind w:left="142"/>
        <w:jc w:val="both"/>
        <w:rPr>
          <w:lang w:val="en-GB"/>
        </w:rPr>
      </w:pPr>
      <w:r w:rsidRPr="00AD7EBC">
        <w:rPr>
          <w:lang w:val="en-GB"/>
        </w:rPr>
        <w:t xml:space="preserve">Key information, learning and evidence produced will be presented in a variety of formats appropriate to different audiences. Research will be shared with decision-makers in MINEPSP, MINGFE, MINAS and PNSA and knowledge sharing events will be organized to disseminate findings of the research work as well. The research results will also be used to create presentations to share findings and learning with the objective of influencing future research and policy by government, NGOs, international organizations such as UNICEF, and other relevant stakeholders such as </w:t>
      </w:r>
      <w:proofErr w:type="spellStart"/>
      <w:r w:rsidRPr="00AD7EBC">
        <w:rPr>
          <w:lang w:val="en-GB"/>
        </w:rPr>
        <w:t>Accelere</w:t>
      </w:r>
      <w:proofErr w:type="spellEnd"/>
      <w:r w:rsidRPr="00AD7EBC">
        <w:rPr>
          <w:lang w:val="en-GB"/>
        </w:rPr>
        <w:t xml:space="preserve">. </w:t>
      </w:r>
    </w:p>
    <w:p w14:paraId="7EE34A7F" w14:textId="77777777" w:rsidR="008A4E11" w:rsidRPr="00AD7EBC" w:rsidRDefault="008A4E11" w:rsidP="008A4E11">
      <w:pPr>
        <w:pStyle w:val="BodyText"/>
        <w:spacing w:before="9"/>
        <w:ind w:left="142"/>
        <w:jc w:val="both"/>
        <w:rPr>
          <w:lang w:val="en-GB"/>
        </w:rPr>
      </w:pPr>
    </w:p>
    <w:p w14:paraId="70ADEFA8" w14:textId="2EB87319" w:rsidR="008A4E11" w:rsidRPr="00AD7EBC" w:rsidRDefault="008A4E11" w:rsidP="008A4E11">
      <w:pPr>
        <w:pStyle w:val="BodyText"/>
        <w:spacing w:before="9"/>
        <w:ind w:left="142"/>
        <w:jc w:val="both"/>
        <w:rPr>
          <w:lang w:val="en-GB"/>
        </w:rPr>
      </w:pPr>
      <w:r w:rsidRPr="00AD7EBC">
        <w:rPr>
          <w:lang w:val="en-GB"/>
        </w:rPr>
        <w:t>Monitoring of the ownership and engagement of government and other stakeholders will be carried out through detailed records following all stakeholder meetings, and careful tracking of the development of government plans, including the level of leadership taken in producing those plans. Evidence of government commitment and advocacy outcomes will be documented.</w:t>
      </w:r>
    </w:p>
    <w:p w14:paraId="5BCFF43E" w14:textId="77777777" w:rsidR="008A4E11" w:rsidRPr="00AD7EBC" w:rsidRDefault="008A4E11" w:rsidP="008A4E11">
      <w:pPr>
        <w:pStyle w:val="BodyText"/>
        <w:spacing w:before="9"/>
        <w:ind w:left="142"/>
        <w:jc w:val="both"/>
        <w:rPr>
          <w:lang w:val="en-GB"/>
        </w:rPr>
      </w:pPr>
    </w:p>
    <w:p w14:paraId="53D9E43C" w14:textId="1021AB2B" w:rsidR="008A4E11" w:rsidRPr="00AD7EBC" w:rsidRDefault="008A4E11" w:rsidP="008A4E11">
      <w:pPr>
        <w:pStyle w:val="BodyText"/>
        <w:spacing w:before="9"/>
        <w:ind w:left="142"/>
        <w:jc w:val="both"/>
        <w:rPr>
          <w:lang w:val="en-GB"/>
        </w:rPr>
      </w:pPr>
      <w:r w:rsidRPr="00AD7EBC">
        <w:rPr>
          <w:lang w:val="en-GB"/>
        </w:rPr>
        <w:t xml:space="preserve">At national level, the project team will define a dissemination plan in order to involve and share learning with beneficiaries, their families, the wider community and the government.  Internally, the project and its partners will disseminate learning across teams and projects. At international level, the learning agenda will be designed to share learning across three GEC-T projects implemented by Save the Children in three different countries, as they have done in the past during GEC 1. As part of the learning clusters, REALISE will also contribute in sharing knowledge and learning between all participants of the clusters, as well as across the whole GEC portfolio globally. Both in-country DFID and PwC offices will also be receiving information and participate in learning events, as well as DFID and PwC headquarters in the UK. </w:t>
      </w:r>
    </w:p>
    <w:p w14:paraId="26F1B620" w14:textId="51B1F7C8" w:rsidR="00BC0501" w:rsidRPr="00AD7EBC" w:rsidRDefault="00BC0501">
      <w:pPr>
        <w:widowControl/>
        <w:spacing w:after="160" w:line="259" w:lineRule="auto"/>
        <w:rPr>
          <w:sz w:val="20"/>
          <w:lang w:val="en-GB"/>
        </w:rPr>
      </w:pPr>
      <w:r w:rsidRPr="00AD7EBC">
        <w:rPr>
          <w:sz w:val="20"/>
          <w:lang w:val="en-GB"/>
        </w:rPr>
        <w:br w:type="page"/>
      </w:r>
    </w:p>
    <w:p w14:paraId="337BA194" w14:textId="77777777" w:rsidR="007C7D0F" w:rsidRPr="00AD7EBC" w:rsidRDefault="007C7D0F" w:rsidP="007C7D0F">
      <w:pPr>
        <w:pStyle w:val="BodyText"/>
        <w:spacing w:before="7"/>
        <w:rPr>
          <w:sz w:val="20"/>
          <w:lang w:val="en-GB"/>
        </w:rPr>
      </w:pPr>
    </w:p>
    <w:p w14:paraId="21E4AC17" w14:textId="704993A4" w:rsidR="007C7D0F" w:rsidRPr="00AD7EBC" w:rsidRDefault="007C7D0F" w:rsidP="00C21EEA">
      <w:pPr>
        <w:pStyle w:val="Heading2"/>
      </w:pPr>
      <w:bookmarkStart w:id="14" w:name="_Toc506203086"/>
      <w:r w:rsidRPr="00AD7EBC">
        <w:t>Evaluation workplan</w:t>
      </w:r>
      <w:bookmarkEnd w:id="14"/>
    </w:p>
    <w:p w14:paraId="5CAAA640" w14:textId="77777777" w:rsidR="007C7D0F" w:rsidRPr="00AD7EBC" w:rsidRDefault="007C7D0F" w:rsidP="007C7D0F">
      <w:pPr>
        <w:pStyle w:val="BodyText"/>
        <w:spacing w:before="10"/>
        <w:rPr>
          <w:b/>
          <w:sz w:val="28"/>
          <w:lang w:val="en-GB"/>
        </w:rPr>
      </w:pPr>
    </w:p>
    <w:p w14:paraId="19B8D26C" w14:textId="77777777" w:rsidR="007C7D0F" w:rsidRPr="00AD7EBC" w:rsidRDefault="007C7D0F" w:rsidP="007C7D0F">
      <w:pPr>
        <w:pStyle w:val="ListParagraph"/>
        <w:numPr>
          <w:ilvl w:val="1"/>
          <w:numId w:val="2"/>
        </w:numPr>
        <w:tabs>
          <w:tab w:val="left" w:pos="821"/>
        </w:tabs>
        <w:jc w:val="both"/>
        <w:rPr>
          <w:lang w:val="en-GB"/>
        </w:rPr>
      </w:pPr>
      <w:r w:rsidRPr="00AD7EBC">
        <w:rPr>
          <w:color w:val="1F487C"/>
          <w:lang w:val="en-GB"/>
        </w:rPr>
        <w:t>Timetable</w:t>
      </w:r>
    </w:p>
    <w:p w14:paraId="0387ED99" w14:textId="10B2B6C4" w:rsidR="00694C68" w:rsidRPr="00AD7EBC" w:rsidRDefault="00694C68" w:rsidP="007C7D0F">
      <w:pPr>
        <w:pStyle w:val="BodyText"/>
        <w:ind w:left="100"/>
        <w:jc w:val="both"/>
        <w:rPr>
          <w:lang w:val="en-GB"/>
        </w:rPr>
      </w:pPr>
    </w:p>
    <w:tbl>
      <w:tblPr>
        <w:tblStyle w:val="TableGrid"/>
        <w:tblW w:w="0" w:type="auto"/>
        <w:tblInd w:w="250" w:type="dxa"/>
        <w:tblLook w:val="04A0" w:firstRow="1" w:lastRow="0" w:firstColumn="1" w:lastColumn="0" w:noHBand="0" w:noVBand="1"/>
      </w:tblPr>
      <w:tblGrid>
        <w:gridCol w:w="6181"/>
        <w:gridCol w:w="2799"/>
      </w:tblGrid>
      <w:tr w:rsidR="00694C68" w:rsidRPr="00AD7EBC" w14:paraId="38D539B5" w14:textId="77777777" w:rsidTr="00911690">
        <w:trPr>
          <w:trHeight w:val="355"/>
        </w:trPr>
        <w:tc>
          <w:tcPr>
            <w:tcW w:w="6181" w:type="dxa"/>
            <w:vAlign w:val="center"/>
          </w:tcPr>
          <w:p w14:paraId="0D9C8277" w14:textId="77777777" w:rsidR="00694C68" w:rsidRPr="00AD7EBC" w:rsidRDefault="00694C68" w:rsidP="00911690">
            <w:pPr>
              <w:pStyle w:val="BodyText"/>
              <w:jc w:val="both"/>
              <w:rPr>
                <w:b/>
                <w:color w:val="7F7F7F" w:themeColor="text1" w:themeTint="80"/>
                <w:lang w:val="en-GB"/>
              </w:rPr>
            </w:pPr>
            <w:r w:rsidRPr="00AD7EBC">
              <w:rPr>
                <w:b/>
                <w:color w:val="7F7F7F" w:themeColor="text1" w:themeTint="80"/>
                <w:lang w:val="en-GB"/>
              </w:rPr>
              <w:t>Activities</w:t>
            </w:r>
          </w:p>
        </w:tc>
        <w:tc>
          <w:tcPr>
            <w:tcW w:w="2799" w:type="dxa"/>
            <w:vAlign w:val="center"/>
          </w:tcPr>
          <w:p w14:paraId="4845CCF9" w14:textId="77777777" w:rsidR="00694C68" w:rsidRPr="00AD7EBC" w:rsidRDefault="00694C68" w:rsidP="00911690">
            <w:pPr>
              <w:pStyle w:val="BodyText"/>
              <w:jc w:val="both"/>
              <w:rPr>
                <w:b/>
                <w:color w:val="7F7F7F" w:themeColor="text1" w:themeTint="80"/>
                <w:lang w:val="en-GB"/>
              </w:rPr>
            </w:pPr>
            <w:r w:rsidRPr="00AD7EBC">
              <w:rPr>
                <w:b/>
                <w:color w:val="7F7F7F" w:themeColor="text1" w:themeTint="80"/>
                <w:lang w:val="en-GB"/>
              </w:rPr>
              <w:t>Timeline / deadline</w:t>
            </w:r>
          </w:p>
        </w:tc>
      </w:tr>
      <w:tr w:rsidR="00694C68" w:rsidRPr="00AD7EBC" w14:paraId="7AAD5CE9" w14:textId="77777777" w:rsidTr="00911690">
        <w:trPr>
          <w:trHeight w:val="465"/>
        </w:trPr>
        <w:tc>
          <w:tcPr>
            <w:tcW w:w="8980" w:type="dxa"/>
            <w:gridSpan w:val="2"/>
            <w:shd w:val="clear" w:color="auto" w:fill="FFE599" w:themeFill="accent4" w:themeFillTint="66"/>
            <w:vAlign w:val="center"/>
          </w:tcPr>
          <w:p w14:paraId="6713B902" w14:textId="18EC645C" w:rsidR="00694C68" w:rsidRPr="00AD7EBC" w:rsidRDefault="00FE628D" w:rsidP="00911690">
            <w:pPr>
              <w:pStyle w:val="BodyText"/>
              <w:jc w:val="both"/>
              <w:rPr>
                <w:sz w:val="20"/>
                <w:lang w:val="en-GB"/>
              </w:rPr>
            </w:pPr>
            <w:r w:rsidRPr="00AD7EBC">
              <w:rPr>
                <w:sz w:val="20"/>
                <w:lang w:val="en-GB"/>
              </w:rPr>
              <w:t xml:space="preserve">School term in the </w:t>
            </w:r>
            <w:proofErr w:type="spellStart"/>
            <w:r w:rsidRPr="00AD7EBC">
              <w:rPr>
                <w:sz w:val="20"/>
                <w:lang w:val="en-GB"/>
              </w:rPr>
              <w:t>D.</w:t>
            </w:r>
            <w:proofErr w:type="gramStart"/>
            <w:r w:rsidRPr="00AD7EBC">
              <w:rPr>
                <w:sz w:val="20"/>
                <w:lang w:val="en-GB"/>
              </w:rPr>
              <w:t>R.Congo</w:t>
            </w:r>
            <w:proofErr w:type="spellEnd"/>
            <w:proofErr w:type="gramEnd"/>
            <w:r w:rsidRPr="00AD7EBC">
              <w:rPr>
                <w:sz w:val="20"/>
                <w:lang w:val="en-GB"/>
              </w:rPr>
              <w:t xml:space="preserve">: September </w:t>
            </w:r>
            <w:r w:rsidR="00694C68" w:rsidRPr="00AD7EBC">
              <w:rPr>
                <w:sz w:val="20"/>
                <w:lang w:val="en-GB"/>
              </w:rPr>
              <w:t xml:space="preserve">until </w:t>
            </w:r>
            <w:r w:rsidRPr="00AD7EBC">
              <w:rPr>
                <w:sz w:val="20"/>
                <w:lang w:val="en-GB"/>
              </w:rPr>
              <w:t>June</w:t>
            </w:r>
            <w:r w:rsidR="00694C68" w:rsidRPr="00AD7EBC">
              <w:rPr>
                <w:sz w:val="20"/>
                <w:lang w:val="en-GB"/>
              </w:rPr>
              <w:t xml:space="preserve"> (school closes </w:t>
            </w:r>
            <w:r w:rsidRPr="00AD7EBC">
              <w:rPr>
                <w:sz w:val="20"/>
                <w:lang w:val="en-GB"/>
              </w:rPr>
              <w:t>June</w:t>
            </w:r>
            <w:r w:rsidR="00694C68" w:rsidRPr="00AD7EBC">
              <w:rPr>
                <w:sz w:val="20"/>
                <w:lang w:val="en-GB"/>
              </w:rPr>
              <w:t xml:space="preserve"> until </w:t>
            </w:r>
            <w:r w:rsidRPr="00AD7EBC">
              <w:rPr>
                <w:sz w:val="20"/>
                <w:lang w:val="en-GB"/>
              </w:rPr>
              <w:t>August</w:t>
            </w:r>
            <w:r w:rsidR="00694C68" w:rsidRPr="00AD7EBC">
              <w:rPr>
                <w:sz w:val="20"/>
                <w:lang w:val="en-GB"/>
              </w:rPr>
              <w:t>)</w:t>
            </w:r>
          </w:p>
        </w:tc>
      </w:tr>
      <w:tr w:rsidR="00694C68" w:rsidRPr="00AD7EBC" w14:paraId="2AF9F115" w14:textId="77777777" w:rsidTr="00911690">
        <w:trPr>
          <w:trHeight w:val="369"/>
        </w:trPr>
        <w:tc>
          <w:tcPr>
            <w:tcW w:w="6181" w:type="dxa"/>
            <w:vAlign w:val="center"/>
          </w:tcPr>
          <w:p w14:paraId="67D25905" w14:textId="77777777" w:rsidR="00694C68" w:rsidRPr="00AD7EBC" w:rsidRDefault="00694C68" w:rsidP="00911690">
            <w:pPr>
              <w:pStyle w:val="BodyText"/>
              <w:jc w:val="both"/>
              <w:rPr>
                <w:sz w:val="20"/>
                <w:lang w:val="en-GB"/>
              </w:rPr>
            </w:pPr>
            <w:r w:rsidRPr="00AD7EBC">
              <w:rPr>
                <w:sz w:val="20"/>
                <w:lang w:val="en-GB"/>
              </w:rPr>
              <w:t>Project appoints and forms an Evaluation Steering Committee</w:t>
            </w:r>
          </w:p>
        </w:tc>
        <w:tc>
          <w:tcPr>
            <w:tcW w:w="2799" w:type="dxa"/>
            <w:vAlign w:val="center"/>
          </w:tcPr>
          <w:p w14:paraId="0BADF0C2" w14:textId="5A91495E" w:rsidR="00694C68" w:rsidRPr="00AD7EBC" w:rsidRDefault="0035536B" w:rsidP="00911690">
            <w:pPr>
              <w:pStyle w:val="BodyText"/>
              <w:jc w:val="both"/>
              <w:rPr>
                <w:sz w:val="20"/>
                <w:lang w:val="en-GB"/>
              </w:rPr>
            </w:pPr>
            <w:r w:rsidRPr="00AD7EBC">
              <w:rPr>
                <w:sz w:val="20"/>
                <w:lang w:val="en-GB"/>
              </w:rPr>
              <w:t>December</w:t>
            </w:r>
            <w:r w:rsidR="00694C68" w:rsidRPr="00AD7EBC">
              <w:rPr>
                <w:sz w:val="20"/>
                <w:lang w:val="en-GB"/>
              </w:rPr>
              <w:t xml:space="preserve"> 2017</w:t>
            </w:r>
          </w:p>
        </w:tc>
      </w:tr>
      <w:tr w:rsidR="00694C68" w:rsidRPr="00AD7EBC" w14:paraId="46F14C30" w14:textId="77777777" w:rsidTr="00911690">
        <w:trPr>
          <w:trHeight w:val="369"/>
        </w:trPr>
        <w:tc>
          <w:tcPr>
            <w:tcW w:w="6181" w:type="dxa"/>
            <w:vAlign w:val="center"/>
          </w:tcPr>
          <w:p w14:paraId="51A28BB8" w14:textId="77777777" w:rsidR="00694C68" w:rsidRPr="00AD7EBC" w:rsidRDefault="00694C68" w:rsidP="00911690">
            <w:pPr>
              <w:pStyle w:val="BodyText"/>
              <w:rPr>
                <w:sz w:val="20"/>
                <w:lang w:val="en-GB"/>
              </w:rPr>
            </w:pPr>
            <w:r w:rsidRPr="00AD7EBC">
              <w:rPr>
                <w:sz w:val="20"/>
                <w:lang w:val="en-GB"/>
              </w:rPr>
              <w:t>Recruitment of external evaluators</w:t>
            </w:r>
          </w:p>
        </w:tc>
        <w:tc>
          <w:tcPr>
            <w:tcW w:w="2799" w:type="dxa"/>
            <w:vAlign w:val="center"/>
          </w:tcPr>
          <w:p w14:paraId="63D6EA8F" w14:textId="51810350" w:rsidR="00694C68" w:rsidRPr="00AD7EBC" w:rsidRDefault="008F694A" w:rsidP="00911690">
            <w:pPr>
              <w:pStyle w:val="BodyText"/>
              <w:rPr>
                <w:sz w:val="20"/>
                <w:lang w:val="en-GB"/>
              </w:rPr>
            </w:pPr>
            <w:r>
              <w:rPr>
                <w:sz w:val="20"/>
                <w:lang w:val="en-GB"/>
              </w:rPr>
              <w:t xml:space="preserve">end-March </w:t>
            </w:r>
            <w:r w:rsidR="00FE628D" w:rsidRPr="00AD7EBC">
              <w:rPr>
                <w:sz w:val="20"/>
                <w:lang w:val="en-GB"/>
              </w:rPr>
              <w:t>2018</w:t>
            </w:r>
          </w:p>
        </w:tc>
      </w:tr>
      <w:tr w:rsidR="00694C68" w:rsidRPr="00AD7EBC" w14:paraId="5378AF53" w14:textId="77777777" w:rsidTr="00911690">
        <w:trPr>
          <w:trHeight w:val="317"/>
        </w:trPr>
        <w:tc>
          <w:tcPr>
            <w:tcW w:w="6181" w:type="dxa"/>
            <w:vAlign w:val="center"/>
          </w:tcPr>
          <w:p w14:paraId="30BCAF69" w14:textId="77777777" w:rsidR="00694C68" w:rsidRPr="00AD7EBC" w:rsidRDefault="00694C68" w:rsidP="00911690">
            <w:pPr>
              <w:pStyle w:val="BodyText"/>
              <w:rPr>
                <w:sz w:val="20"/>
                <w:lang w:val="en-GB"/>
              </w:rPr>
            </w:pPr>
            <w:r w:rsidRPr="00AD7EBC">
              <w:rPr>
                <w:sz w:val="20"/>
                <w:lang w:val="en-GB"/>
              </w:rPr>
              <w:t>Inception meeting and workplan review</w:t>
            </w:r>
          </w:p>
        </w:tc>
        <w:tc>
          <w:tcPr>
            <w:tcW w:w="2799" w:type="dxa"/>
            <w:vAlign w:val="center"/>
          </w:tcPr>
          <w:p w14:paraId="51A21E7E" w14:textId="590CC23A" w:rsidR="00694C68" w:rsidRPr="00AD7EBC" w:rsidRDefault="008F694A" w:rsidP="00911690">
            <w:pPr>
              <w:pStyle w:val="BodyText"/>
              <w:rPr>
                <w:sz w:val="20"/>
                <w:lang w:val="en-GB"/>
              </w:rPr>
            </w:pPr>
            <w:r>
              <w:rPr>
                <w:sz w:val="20"/>
                <w:lang w:val="en-GB"/>
              </w:rPr>
              <w:t xml:space="preserve">end-March </w:t>
            </w:r>
            <w:r w:rsidR="00FE628D" w:rsidRPr="00AD7EBC">
              <w:rPr>
                <w:sz w:val="20"/>
                <w:lang w:val="en-GB"/>
              </w:rPr>
              <w:t>2018</w:t>
            </w:r>
          </w:p>
        </w:tc>
      </w:tr>
      <w:tr w:rsidR="00694C68" w:rsidRPr="00AD7EBC" w14:paraId="21BF60C6" w14:textId="77777777" w:rsidTr="00911690">
        <w:trPr>
          <w:trHeight w:val="295"/>
        </w:trPr>
        <w:tc>
          <w:tcPr>
            <w:tcW w:w="6181" w:type="dxa"/>
            <w:vAlign w:val="center"/>
          </w:tcPr>
          <w:p w14:paraId="57EADE0A" w14:textId="77777777" w:rsidR="00694C68" w:rsidRPr="00AD7EBC" w:rsidRDefault="00694C68" w:rsidP="00911690">
            <w:pPr>
              <w:pStyle w:val="BodyText"/>
              <w:rPr>
                <w:sz w:val="20"/>
                <w:lang w:val="en-GB"/>
              </w:rPr>
            </w:pPr>
            <w:r w:rsidRPr="00AD7EBC">
              <w:rPr>
                <w:sz w:val="20"/>
                <w:lang w:val="en-GB"/>
              </w:rPr>
              <w:t>Definition of primary research instruments and development</w:t>
            </w:r>
          </w:p>
        </w:tc>
        <w:tc>
          <w:tcPr>
            <w:tcW w:w="2799" w:type="dxa"/>
            <w:vAlign w:val="center"/>
          </w:tcPr>
          <w:p w14:paraId="68550C22" w14:textId="29FA1C40" w:rsidR="00694C68" w:rsidRPr="00AD7EBC" w:rsidRDefault="008F694A" w:rsidP="00911690">
            <w:pPr>
              <w:pStyle w:val="BodyText"/>
              <w:rPr>
                <w:sz w:val="20"/>
                <w:lang w:val="en-GB"/>
              </w:rPr>
            </w:pPr>
            <w:r>
              <w:rPr>
                <w:sz w:val="20"/>
                <w:lang w:val="en-GB"/>
              </w:rPr>
              <w:t xml:space="preserve">April </w:t>
            </w:r>
            <w:r w:rsidR="00FE628D" w:rsidRPr="00AD7EBC">
              <w:rPr>
                <w:sz w:val="20"/>
                <w:lang w:val="en-GB"/>
              </w:rPr>
              <w:t>2018</w:t>
            </w:r>
          </w:p>
        </w:tc>
      </w:tr>
      <w:tr w:rsidR="00BA6250" w:rsidRPr="00AD7EBC" w14:paraId="53568CF0" w14:textId="77777777" w:rsidTr="00911690">
        <w:trPr>
          <w:trHeight w:val="295"/>
        </w:trPr>
        <w:tc>
          <w:tcPr>
            <w:tcW w:w="6181" w:type="dxa"/>
            <w:vAlign w:val="center"/>
          </w:tcPr>
          <w:p w14:paraId="444A19C9" w14:textId="3ADEA314" w:rsidR="00BA6250" w:rsidRPr="00AD7EBC" w:rsidRDefault="00BA6250" w:rsidP="00911690">
            <w:pPr>
              <w:pStyle w:val="BodyText"/>
              <w:rPr>
                <w:sz w:val="20"/>
                <w:lang w:val="en-GB"/>
              </w:rPr>
            </w:pPr>
            <w:r w:rsidRPr="00AD7EBC">
              <w:rPr>
                <w:sz w:val="20"/>
                <w:lang w:val="en-GB"/>
              </w:rPr>
              <w:t>Finalize and submit evaluation quantitative and qualitative tools to FM</w:t>
            </w:r>
          </w:p>
        </w:tc>
        <w:tc>
          <w:tcPr>
            <w:tcW w:w="2799" w:type="dxa"/>
            <w:vAlign w:val="center"/>
          </w:tcPr>
          <w:p w14:paraId="69CC07DD" w14:textId="6FAD1FD8" w:rsidR="00BA6250" w:rsidRPr="00AD7EBC" w:rsidRDefault="001C3C55" w:rsidP="00911690">
            <w:pPr>
              <w:pStyle w:val="BodyText"/>
              <w:rPr>
                <w:sz w:val="20"/>
                <w:lang w:val="en-GB"/>
              </w:rPr>
            </w:pPr>
            <w:r>
              <w:rPr>
                <w:sz w:val="20"/>
                <w:lang w:val="en-GB"/>
              </w:rPr>
              <w:t>end-</w:t>
            </w:r>
            <w:r w:rsidR="008F694A">
              <w:rPr>
                <w:sz w:val="20"/>
                <w:lang w:val="en-GB"/>
              </w:rPr>
              <w:t xml:space="preserve">April </w:t>
            </w:r>
            <w:r w:rsidR="00BA6250" w:rsidRPr="00AD7EBC">
              <w:rPr>
                <w:sz w:val="20"/>
                <w:lang w:val="en-GB"/>
              </w:rPr>
              <w:t>2018</w:t>
            </w:r>
          </w:p>
        </w:tc>
      </w:tr>
      <w:tr w:rsidR="00BA6250" w:rsidRPr="00AD7EBC" w14:paraId="19FCC606" w14:textId="77777777" w:rsidTr="00911690">
        <w:trPr>
          <w:trHeight w:val="295"/>
        </w:trPr>
        <w:tc>
          <w:tcPr>
            <w:tcW w:w="6181" w:type="dxa"/>
            <w:vAlign w:val="center"/>
          </w:tcPr>
          <w:p w14:paraId="230E3ADD" w14:textId="255E992F" w:rsidR="00BA6250" w:rsidRPr="00AD7EBC" w:rsidRDefault="00BA6250" w:rsidP="00BA6250">
            <w:pPr>
              <w:pStyle w:val="BodyText"/>
              <w:rPr>
                <w:sz w:val="20"/>
                <w:lang w:val="en-GB"/>
              </w:rPr>
            </w:pPr>
            <w:r w:rsidRPr="00AD7EBC">
              <w:rPr>
                <w:sz w:val="20"/>
                <w:lang w:val="en-GB"/>
              </w:rPr>
              <w:t>Final inception report and workplan submitted to SC</w:t>
            </w:r>
          </w:p>
        </w:tc>
        <w:tc>
          <w:tcPr>
            <w:tcW w:w="2799" w:type="dxa"/>
            <w:vAlign w:val="center"/>
          </w:tcPr>
          <w:p w14:paraId="73F5063A" w14:textId="2ABACDB7" w:rsidR="00BA6250" w:rsidRPr="00AD7EBC" w:rsidRDefault="00A94DD5" w:rsidP="00BA6250">
            <w:pPr>
              <w:pStyle w:val="BodyText"/>
              <w:rPr>
                <w:sz w:val="20"/>
                <w:lang w:val="en-GB"/>
              </w:rPr>
            </w:pPr>
            <w:r>
              <w:rPr>
                <w:sz w:val="20"/>
                <w:lang w:val="en-GB"/>
              </w:rPr>
              <w:t>end</w:t>
            </w:r>
            <w:r w:rsidR="008F694A">
              <w:rPr>
                <w:sz w:val="20"/>
                <w:lang w:val="en-GB"/>
              </w:rPr>
              <w:t xml:space="preserve">-April </w:t>
            </w:r>
            <w:r w:rsidR="00BA6250" w:rsidRPr="00AD7EBC">
              <w:rPr>
                <w:sz w:val="20"/>
                <w:lang w:val="en-GB"/>
              </w:rPr>
              <w:t>2018</w:t>
            </w:r>
          </w:p>
        </w:tc>
      </w:tr>
      <w:tr w:rsidR="00BA6250" w:rsidRPr="00AD7EBC" w14:paraId="6450BCD7" w14:textId="77777777" w:rsidTr="00911690">
        <w:trPr>
          <w:trHeight w:val="387"/>
        </w:trPr>
        <w:tc>
          <w:tcPr>
            <w:tcW w:w="6181" w:type="dxa"/>
            <w:vAlign w:val="center"/>
          </w:tcPr>
          <w:p w14:paraId="45F05F66" w14:textId="77777777" w:rsidR="00BA6250" w:rsidRPr="00AD7EBC" w:rsidRDefault="00BA6250" w:rsidP="00BA6250">
            <w:pPr>
              <w:pStyle w:val="BodyText"/>
              <w:rPr>
                <w:sz w:val="20"/>
                <w:lang w:val="en-GB"/>
              </w:rPr>
            </w:pPr>
            <w:r w:rsidRPr="00AD7EBC">
              <w:rPr>
                <w:sz w:val="20"/>
                <w:lang w:val="en-GB"/>
              </w:rPr>
              <w:t>Develop and carry out training workshop for enumerators and field supervisors</w:t>
            </w:r>
          </w:p>
        </w:tc>
        <w:tc>
          <w:tcPr>
            <w:tcW w:w="2799" w:type="dxa"/>
            <w:vAlign w:val="center"/>
          </w:tcPr>
          <w:p w14:paraId="3188B33B" w14:textId="709174D6" w:rsidR="00BA6250" w:rsidRPr="00AD7EBC" w:rsidRDefault="00A94DD5" w:rsidP="00BA6250">
            <w:pPr>
              <w:pStyle w:val="BodyText"/>
              <w:rPr>
                <w:sz w:val="20"/>
                <w:lang w:val="en-GB"/>
              </w:rPr>
            </w:pPr>
            <w:r>
              <w:rPr>
                <w:sz w:val="20"/>
                <w:lang w:val="en-GB"/>
              </w:rPr>
              <w:t>Early May 2018</w:t>
            </w:r>
          </w:p>
        </w:tc>
      </w:tr>
      <w:tr w:rsidR="00BA6250" w:rsidRPr="00AD7EBC" w14:paraId="4E98A156" w14:textId="77777777" w:rsidTr="00911690">
        <w:trPr>
          <w:trHeight w:val="415"/>
        </w:trPr>
        <w:tc>
          <w:tcPr>
            <w:tcW w:w="6181" w:type="dxa"/>
            <w:vAlign w:val="center"/>
          </w:tcPr>
          <w:p w14:paraId="08697F37" w14:textId="77777777" w:rsidR="00BA6250" w:rsidRPr="00AD7EBC" w:rsidRDefault="00BA6250" w:rsidP="00BA6250">
            <w:pPr>
              <w:pStyle w:val="BodyText"/>
              <w:rPr>
                <w:sz w:val="20"/>
                <w:lang w:val="en-GB"/>
              </w:rPr>
            </w:pPr>
            <w:r w:rsidRPr="00AD7EBC">
              <w:rPr>
                <w:sz w:val="20"/>
                <w:lang w:val="en-GB"/>
              </w:rPr>
              <w:t>Testing and piloting data collection tools</w:t>
            </w:r>
          </w:p>
        </w:tc>
        <w:tc>
          <w:tcPr>
            <w:tcW w:w="2799" w:type="dxa"/>
            <w:vAlign w:val="center"/>
          </w:tcPr>
          <w:p w14:paraId="5242252A" w14:textId="5513208E" w:rsidR="00BA6250" w:rsidRPr="00AD7EBC" w:rsidRDefault="00A94DD5" w:rsidP="00BA6250">
            <w:pPr>
              <w:pStyle w:val="BodyText"/>
              <w:rPr>
                <w:sz w:val="20"/>
                <w:lang w:val="en-GB"/>
              </w:rPr>
            </w:pPr>
            <w:r>
              <w:rPr>
                <w:sz w:val="20"/>
                <w:lang w:val="en-GB"/>
              </w:rPr>
              <w:t>Early May 2018</w:t>
            </w:r>
          </w:p>
        </w:tc>
      </w:tr>
      <w:tr w:rsidR="00BA6250" w:rsidRPr="00AD7EBC" w14:paraId="65BDB080" w14:textId="77777777" w:rsidTr="00911690">
        <w:trPr>
          <w:trHeight w:val="549"/>
        </w:trPr>
        <w:tc>
          <w:tcPr>
            <w:tcW w:w="6181" w:type="dxa"/>
            <w:vAlign w:val="center"/>
          </w:tcPr>
          <w:p w14:paraId="50723B5B" w14:textId="77777777" w:rsidR="00BA6250" w:rsidRPr="00AD7EBC" w:rsidRDefault="00BA6250" w:rsidP="00BA6250">
            <w:pPr>
              <w:pStyle w:val="BodyText"/>
              <w:rPr>
                <w:sz w:val="20"/>
                <w:lang w:val="en-GB"/>
              </w:rPr>
            </w:pPr>
            <w:r w:rsidRPr="00AD7EBC">
              <w:rPr>
                <w:sz w:val="20"/>
                <w:lang w:val="en-GB"/>
              </w:rPr>
              <w:t>Collect benchmarking data and baseline data</w:t>
            </w:r>
          </w:p>
        </w:tc>
        <w:tc>
          <w:tcPr>
            <w:tcW w:w="2799" w:type="dxa"/>
            <w:vAlign w:val="center"/>
          </w:tcPr>
          <w:p w14:paraId="495BE71A" w14:textId="426EF913" w:rsidR="00BA6250" w:rsidRPr="00AD7EBC" w:rsidRDefault="00EA24D5" w:rsidP="00BA6250">
            <w:pPr>
              <w:pStyle w:val="BodyText"/>
              <w:rPr>
                <w:sz w:val="20"/>
                <w:lang w:val="en-GB"/>
              </w:rPr>
            </w:pPr>
            <w:r>
              <w:rPr>
                <w:sz w:val="20"/>
                <w:lang w:val="en-GB"/>
              </w:rPr>
              <w:t>Mid-</w:t>
            </w:r>
            <w:r w:rsidR="008557EF" w:rsidRPr="00AD7EBC">
              <w:rPr>
                <w:sz w:val="20"/>
                <w:lang w:val="en-GB"/>
              </w:rPr>
              <w:t xml:space="preserve">May </w:t>
            </w:r>
            <w:r w:rsidR="00A94DD5">
              <w:rPr>
                <w:sz w:val="20"/>
                <w:lang w:val="en-GB"/>
              </w:rPr>
              <w:t xml:space="preserve">- early June </w:t>
            </w:r>
            <w:r w:rsidR="00BA6250" w:rsidRPr="00AD7EBC">
              <w:rPr>
                <w:sz w:val="20"/>
                <w:lang w:val="en-GB"/>
              </w:rPr>
              <w:t>2018</w:t>
            </w:r>
          </w:p>
        </w:tc>
      </w:tr>
      <w:tr w:rsidR="00BA6250" w:rsidRPr="00AD7EBC" w14:paraId="57D397DB" w14:textId="77777777" w:rsidTr="00911690">
        <w:trPr>
          <w:trHeight w:val="169"/>
        </w:trPr>
        <w:tc>
          <w:tcPr>
            <w:tcW w:w="6181" w:type="dxa"/>
            <w:vAlign w:val="center"/>
          </w:tcPr>
          <w:p w14:paraId="39291975" w14:textId="7EC4EB49" w:rsidR="00BA6250" w:rsidRPr="00AD7EBC" w:rsidRDefault="00BA6250" w:rsidP="00BA6250">
            <w:pPr>
              <w:pStyle w:val="BodyText"/>
              <w:rPr>
                <w:sz w:val="20"/>
                <w:lang w:val="en-GB"/>
              </w:rPr>
            </w:pPr>
            <w:r w:rsidRPr="00AD7EBC">
              <w:rPr>
                <w:sz w:val="20"/>
                <w:lang w:val="en-GB"/>
              </w:rPr>
              <w:t>First draft of baseline report and clean datasets</w:t>
            </w:r>
          </w:p>
        </w:tc>
        <w:tc>
          <w:tcPr>
            <w:tcW w:w="2799" w:type="dxa"/>
            <w:vAlign w:val="center"/>
          </w:tcPr>
          <w:p w14:paraId="78C27A1D" w14:textId="4514F23F" w:rsidR="00BA6250" w:rsidRPr="00AD7EBC" w:rsidRDefault="00A94DD5" w:rsidP="00BA6250">
            <w:pPr>
              <w:pStyle w:val="BodyText"/>
              <w:rPr>
                <w:sz w:val="20"/>
                <w:lang w:val="en-GB"/>
              </w:rPr>
            </w:pPr>
            <w:r>
              <w:rPr>
                <w:sz w:val="20"/>
                <w:lang w:val="en-GB"/>
              </w:rPr>
              <w:t xml:space="preserve">Early July </w:t>
            </w:r>
            <w:r w:rsidR="00BA6250" w:rsidRPr="00AD7EBC">
              <w:rPr>
                <w:sz w:val="20"/>
                <w:lang w:val="en-GB"/>
              </w:rPr>
              <w:t>2018</w:t>
            </w:r>
          </w:p>
        </w:tc>
      </w:tr>
      <w:tr w:rsidR="00BA6250" w:rsidRPr="00AD7EBC" w14:paraId="2FA1B03C" w14:textId="77777777" w:rsidTr="00911690">
        <w:trPr>
          <w:trHeight w:val="259"/>
        </w:trPr>
        <w:tc>
          <w:tcPr>
            <w:tcW w:w="6181" w:type="dxa"/>
            <w:vAlign w:val="center"/>
          </w:tcPr>
          <w:p w14:paraId="6B7586FF" w14:textId="77777777" w:rsidR="00BA6250" w:rsidRPr="00AD7EBC" w:rsidRDefault="00BA6250" w:rsidP="00BA6250">
            <w:pPr>
              <w:pStyle w:val="BodyText"/>
              <w:rPr>
                <w:sz w:val="20"/>
                <w:szCs w:val="20"/>
                <w:lang w:val="en-GB"/>
              </w:rPr>
            </w:pPr>
            <w:r w:rsidRPr="00AD7EBC">
              <w:rPr>
                <w:sz w:val="20"/>
                <w:szCs w:val="20"/>
                <w:lang w:val="en-GB"/>
              </w:rPr>
              <w:t>Presentation to Evaluation Steering Group</w:t>
            </w:r>
          </w:p>
        </w:tc>
        <w:tc>
          <w:tcPr>
            <w:tcW w:w="2799" w:type="dxa"/>
            <w:vAlign w:val="center"/>
          </w:tcPr>
          <w:p w14:paraId="16C8C7B2" w14:textId="381EED9C" w:rsidR="00BA6250" w:rsidRPr="00AD7EBC" w:rsidRDefault="00A94DD5" w:rsidP="00BA6250">
            <w:pPr>
              <w:pStyle w:val="BodyText"/>
              <w:rPr>
                <w:sz w:val="20"/>
                <w:szCs w:val="20"/>
                <w:lang w:val="en-GB"/>
              </w:rPr>
            </w:pPr>
            <w:r>
              <w:rPr>
                <w:sz w:val="20"/>
                <w:szCs w:val="20"/>
                <w:lang w:val="en-GB"/>
              </w:rPr>
              <w:t xml:space="preserve">Early </w:t>
            </w:r>
            <w:r w:rsidR="00954452" w:rsidRPr="00AD7EBC">
              <w:rPr>
                <w:sz w:val="20"/>
                <w:szCs w:val="20"/>
                <w:lang w:val="en-GB"/>
              </w:rPr>
              <w:t xml:space="preserve">July </w:t>
            </w:r>
            <w:r w:rsidR="00BA6250" w:rsidRPr="00AD7EBC">
              <w:rPr>
                <w:sz w:val="20"/>
                <w:szCs w:val="20"/>
                <w:lang w:val="en-GB"/>
              </w:rPr>
              <w:t>2018</w:t>
            </w:r>
          </w:p>
        </w:tc>
      </w:tr>
      <w:tr w:rsidR="00BA6250" w:rsidRPr="00AD7EBC" w14:paraId="30FB0118" w14:textId="77777777" w:rsidTr="00911690">
        <w:trPr>
          <w:trHeight w:val="279"/>
        </w:trPr>
        <w:tc>
          <w:tcPr>
            <w:tcW w:w="6181" w:type="dxa"/>
            <w:vAlign w:val="center"/>
          </w:tcPr>
          <w:p w14:paraId="68F2CCF4" w14:textId="65E53E69" w:rsidR="00BA6250" w:rsidRPr="00AD7EBC" w:rsidRDefault="00BA6250" w:rsidP="00BA6250">
            <w:pPr>
              <w:pStyle w:val="BodyText"/>
              <w:rPr>
                <w:sz w:val="20"/>
                <w:szCs w:val="20"/>
                <w:lang w:val="en-GB"/>
              </w:rPr>
            </w:pPr>
            <w:r w:rsidRPr="00AD7EBC">
              <w:rPr>
                <w:sz w:val="20"/>
                <w:szCs w:val="20"/>
                <w:lang w:val="en-GB"/>
              </w:rPr>
              <w:t>Final Baseline Study Report + clean datasets submitted to SC and the FM</w:t>
            </w:r>
          </w:p>
        </w:tc>
        <w:tc>
          <w:tcPr>
            <w:tcW w:w="2799" w:type="dxa"/>
            <w:vAlign w:val="center"/>
          </w:tcPr>
          <w:p w14:paraId="45ADA0B4" w14:textId="2F1FE31A" w:rsidR="00BA6250" w:rsidRPr="00AD7EBC" w:rsidRDefault="00954452" w:rsidP="00BA6250">
            <w:pPr>
              <w:pStyle w:val="BodyText"/>
              <w:rPr>
                <w:sz w:val="20"/>
                <w:szCs w:val="20"/>
                <w:lang w:val="en-GB"/>
              </w:rPr>
            </w:pPr>
            <w:r w:rsidRPr="00AD7EBC">
              <w:rPr>
                <w:sz w:val="20"/>
                <w:szCs w:val="20"/>
                <w:lang w:val="en-GB"/>
              </w:rPr>
              <w:t>End July</w:t>
            </w:r>
            <w:r w:rsidR="00BA6250" w:rsidRPr="00AD7EBC">
              <w:rPr>
                <w:sz w:val="20"/>
                <w:szCs w:val="20"/>
                <w:lang w:val="en-GB"/>
              </w:rPr>
              <w:t xml:space="preserve"> 2018</w:t>
            </w:r>
          </w:p>
        </w:tc>
      </w:tr>
      <w:tr w:rsidR="00BA6250" w:rsidRPr="00AD7EBC" w14:paraId="78E10943" w14:textId="77777777" w:rsidTr="00911690">
        <w:trPr>
          <w:trHeight w:val="98"/>
        </w:trPr>
        <w:tc>
          <w:tcPr>
            <w:tcW w:w="6181" w:type="dxa"/>
            <w:shd w:val="clear" w:color="auto" w:fill="D0CECE" w:themeFill="background2" w:themeFillShade="E6"/>
            <w:vAlign w:val="center"/>
          </w:tcPr>
          <w:p w14:paraId="2865B82F" w14:textId="77777777" w:rsidR="00BA6250" w:rsidRPr="00AD7EBC" w:rsidRDefault="00BA6250" w:rsidP="00BA6250">
            <w:pPr>
              <w:pStyle w:val="BodyText"/>
              <w:rPr>
                <w:sz w:val="20"/>
                <w:szCs w:val="20"/>
                <w:lang w:val="en-GB"/>
              </w:rPr>
            </w:pPr>
          </w:p>
        </w:tc>
        <w:tc>
          <w:tcPr>
            <w:tcW w:w="2799" w:type="dxa"/>
            <w:shd w:val="clear" w:color="auto" w:fill="D0CECE" w:themeFill="background2" w:themeFillShade="E6"/>
            <w:vAlign w:val="center"/>
          </w:tcPr>
          <w:p w14:paraId="61579AF8" w14:textId="77777777" w:rsidR="00BA6250" w:rsidRPr="00AD7EBC" w:rsidRDefault="00BA6250" w:rsidP="00BA6250">
            <w:pPr>
              <w:pStyle w:val="BodyText"/>
              <w:rPr>
                <w:sz w:val="20"/>
                <w:szCs w:val="20"/>
                <w:lang w:val="en-GB"/>
              </w:rPr>
            </w:pPr>
          </w:p>
        </w:tc>
      </w:tr>
      <w:tr w:rsidR="00BA6250" w:rsidRPr="00AD7EBC" w14:paraId="2D9A95A9" w14:textId="77777777" w:rsidTr="00911690">
        <w:trPr>
          <w:trHeight w:val="279"/>
        </w:trPr>
        <w:tc>
          <w:tcPr>
            <w:tcW w:w="6181" w:type="dxa"/>
            <w:vAlign w:val="center"/>
          </w:tcPr>
          <w:p w14:paraId="6C2D4221" w14:textId="77777777" w:rsidR="00BA6250" w:rsidRPr="00AD7EBC" w:rsidRDefault="00BA6250" w:rsidP="00BA6250">
            <w:pPr>
              <w:pStyle w:val="BodyText"/>
              <w:rPr>
                <w:sz w:val="20"/>
                <w:szCs w:val="20"/>
                <w:lang w:val="en-GB"/>
              </w:rPr>
            </w:pPr>
            <w:r w:rsidRPr="00AD7EBC">
              <w:rPr>
                <w:sz w:val="20"/>
                <w:szCs w:val="20"/>
                <w:lang w:val="en-GB"/>
              </w:rPr>
              <w:t>Inception phase of midline evaluation</w:t>
            </w:r>
          </w:p>
        </w:tc>
        <w:tc>
          <w:tcPr>
            <w:tcW w:w="2799" w:type="dxa"/>
            <w:vAlign w:val="center"/>
          </w:tcPr>
          <w:p w14:paraId="1F4ED052" w14:textId="37354CBD" w:rsidR="00BA6250" w:rsidRPr="00AD7EBC" w:rsidDel="00F53EF7" w:rsidRDefault="00BA6250" w:rsidP="00BA6250">
            <w:pPr>
              <w:pStyle w:val="BodyText"/>
              <w:rPr>
                <w:sz w:val="20"/>
                <w:szCs w:val="20"/>
                <w:lang w:val="en-GB"/>
              </w:rPr>
            </w:pPr>
            <w:r w:rsidRPr="00AD7EBC">
              <w:rPr>
                <w:sz w:val="20"/>
                <w:szCs w:val="20"/>
                <w:lang w:val="en-GB"/>
              </w:rPr>
              <w:t>January - February 2019</w:t>
            </w:r>
          </w:p>
        </w:tc>
      </w:tr>
      <w:tr w:rsidR="00BA6250" w:rsidRPr="00AD7EBC" w14:paraId="08FE34A4" w14:textId="77777777" w:rsidTr="00911690">
        <w:trPr>
          <w:trHeight w:val="279"/>
        </w:trPr>
        <w:tc>
          <w:tcPr>
            <w:tcW w:w="6181" w:type="dxa"/>
            <w:vAlign w:val="center"/>
          </w:tcPr>
          <w:p w14:paraId="1E6C2CE5" w14:textId="77777777" w:rsidR="00BA6250" w:rsidRPr="00AD7EBC" w:rsidRDefault="00BA6250" w:rsidP="00BA6250">
            <w:pPr>
              <w:pStyle w:val="BodyText"/>
              <w:rPr>
                <w:sz w:val="20"/>
                <w:szCs w:val="20"/>
                <w:lang w:val="en-GB"/>
              </w:rPr>
            </w:pPr>
            <w:r w:rsidRPr="00AD7EBC">
              <w:rPr>
                <w:sz w:val="20"/>
                <w:szCs w:val="20"/>
                <w:lang w:val="en-GB"/>
              </w:rPr>
              <w:t>Fieldwork of midline evaluation</w:t>
            </w:r>
          </w:p>
        </w:tc>
        <w:tc>
          <w:tcPr>
            <w:tcW w:w="2799" w:type="dxa"/>
            <w:vAlign w:val="center"/>
          </w:tcPr>
          <w:p w14:paraId="3702FF05" w14:textId="7BBFA619" w:rsidR="00BA6250" w:rsidRPr="00AD7EBC" w:rsidDel="00F53EF7" w:rsidRDefault="00BA6250" w:rsidP="00BA6250">
            <w:pPr>
              <w:pStyle w:val="BodyText"/>
              <w:rPr>
                <w:sz w:val="20"/>
                <w:szCs w:val="20"/>
                <w:lang w:val="en-GB"/>
              </w:rPr>
            </w:pPr>
            <w:r w:rsidRPr="00AD7EBC">
              <w:rPr>
                <w:sz w:val="20"/>
                <w:szCs w:val="20"/>
                <w:lang w:val="en-GB"/>
              </w:rPr>
              <w:t>March - April 2019</w:t>
            </w:r>
          </w:p>
        </w:tc>
      </w:tr>
      <w:tr w:rsidR="00BA6250" w:rsidRPr="00AD7EBC" w14:paraId="201A2530" w14:textId="77777777" w:rsidTr="00911690">
        <w:trPr>
          <w:trHeight w:val="279"/>
        </w:trPr>
        <w:tc>
          <w:tcPr>
            <w:tcW w:w="6181" w:type="dxa"/>
            <w:vAlign w:val="center"/>
          </w:tcPr>
          <w:p w14:paraId="1B36388B" w14:textId="77777777" w:rsidR="00BA6250" w:rsidRPr="00AD7EBC" w:rsidRDefault="00BA6250" w:rsidP="00BA6250">
            <w:pPr>
              <w:pStyle w:val="BodyText"/>
              <w:rPr>
                <w:sz w:val="20"/>
                <w:szCs w:val="20"/>
                <w:lang w:val="en-GB"/>
              </w:rPr>
            </w:pPr>
            <w:r w:rsidRPr="00AD7EBC">
              <w:rPr>
                <w:sz w:val="20"/>
                <w:szCs w:val="20"/>
                <w:lang w:val="en-GB"/>
              </w:rPr>
              <w:t>Final Midline Study Report submitted to the FM</w:t>
            </w:r>
          </w:p>
        </w:tc>
        <w:tc>
          <w:tcPr>
            <w:tcW w:w="2799" w:type="dxa"/>
            <w:vAlign w:val="center"/>
          </w:tcPr>
          <w:p w14:paraId="0A23F27C" w14:textId="0A043A02" w:rsidR="00BA6250" w:rsidRPr="00AD7EBC" w:rsidRDefault="00BA6250" w:rsidP="00BA6250">
            <w:pPr>
              <w:pStyle w:val="BodyText"/>
              <w:rPr>
                <w:sz w:val="20"/>
                <w:szCs w:val="20"/>
                <w:lang w:val="en-GB"/>
              </w:rPr>
            </w:pPr>
            <w:r w:rsidRPr="00AD7EBC">
              <w:rPr>
                <w:sz w:val="20"/>
                <w:szCs w:val="20"/>
                <w:lang w:val="en-GB"/>
              </w:rPr>
              <w:t>End June 2019</w:t>
            </w:r>
          </w:p>
        </w:tc>
      </w:tr>
      <w:tr w:rsidR="00BA6250" w:rsidRPr="00AD7EBC" w14:paraId="0F8B2421" w14:textId="77777777" w:rsidTr="00911690">
        <w:trPr>
          <w:trHeight w:val="279"/>
        </w:trPr>
        <w:tc>
          <w:tcPr>
            <w:tcW w:w="6181" w:type="dxa"/>
            <w:vAlign w:val="center"/>
          </w:tcPr>
          <w:p w14:paraId="26116760" w14:textId="77777777" w:rsidR="00BA6250" w:rsidRPr="00AD7EBC" w:rsidRDefault="00BA6250" w:rsidP="00BA6250">
            <w:pPr>
              <w:pStyle w:val="BodyText"/>
              <w:rPr>
                <w:sz w:val="20"/>
                <w:szCs w:val="20"/>
                <w:lang w:val="en-GB"/>
              </w:rPr>
            </w:pPr>
            <w:r w:rsidRPr="00AD7EBC">
              <w:rPr>
                <w:sz w:val="20"/>
                <w:szCs w:val="20"/>
                <w:lang w:val="en-GB"/>
              </w:rPr>
              <w:t>Inception phase of endline evaluation</w:t>
            </w:r>
          </w:p>
        </w:tc>
        <w:tc>
          <w:tcPr>
            <w:tcW w:w="2799" w:type="dxa"/>
            <w:vAlign w:val="center"/>
          </w:tcPr>
          <w:p w14:paraId="04B7858D" w14:textId="0479C24C" w:rsidR="00BA6250" w:rsidRPr="00AD7EBC" w:rsidDel="00F53EF7" w:rsidRDefault="00BA6250" w:rsidP="00BA6250">
            <w:pPr>
              <w:pStyle w:val="BodyText"/>
              <w:rPr>
                <w:sz w:val="20"/>
                <w:szCs w:val="20"/>
                <w:lang w:val="en-GB"/>
              </w:rPr>
            </w:pPr>
            <w:r w:rsidRPr="00AD7EBC">
              <w:rPr>
                <w:sz w:val="20"/>
                <w:szCs w:val="20"/>
                <w:lang w:val="en-GB"/>
              </w:rPr>
              <w:t>January - February 2021</w:t>
            </w:r>
          </w:p>
        </w:tc>
      </w:tr>
      <w:tr w:rsidR="00BA6250" w:rsidRPr="00AD7EBC" w14:paraId="0A9F3BD7" w14:textId="77777777" w:rsidTr="00911690">
        <w:trPr>
          <w:trHeight w:val="279"/>
        </w:trPr>
        <w:tc>
          <w:tcPr>
            <w:tcW w:w="6181" w:type="dxa"/>
            <w:vAlign w:val="center"/>
          </w:tcPr>
          <w:p w14:paraId="67F5B86A" w14:textId="77777777" w:rsidR="00BA6250" w:rsidRPr="00AD7EBC" w:rsidRDefault="00BA6250" w:rsidP="00BA6250">
            <w:pPr>
              <w:pStyle w:val="BodyText"/>
              <w:rPr>
                <w:sz w:val="20"/>
                <w:szCs w:val="20"/>
                <w:lang w:val="en-GB"/>
              </w:rPr>
            </w:pPr>
            <w:r w:rsidRPr="00AD7EBC">
              <w:rPr>
                <w:sz w:val="20"/>
                <w:szCs w:val="20"/>
                <w:lang w:val="en-GB"/>
              </w:rPr>
              <w:t>Fieldwork of endline evaluation</w:t>
            </w:r>
          </w:p>
        </w:tc>
        <w:tc>
          <w:tcPr>
            <w:tcW w:w="2799" w:type="dxa"/>
            <w:vAlign w:val="center"/>
          </w:tcPr>
          <w:p w14:paraId="58B09DB6" w14:textId="76773F9A" w:rsidR="00BA6250" w:rsidRPr="00AD7EBC" w:rsidDel="00F53EF7" w:rsidRDefault="00BA6250" w:rsidP="00BA6250">
            <w:pPr>
              <w:pStyle w:val="BodyText"/>
              <w:rPr>
                <w:sz w:val="20"/>
                <w:szCs w:val="20"/>
                <w:lang w:val="en-GB"/>
              </w:rPr>
            </w:pPr>
            <w:r w:rsidRPr="00AD7EBC">
              <w:rPr>
                <w:sz w:val="20"/>
                <w:szCs w:val="20"/>
                <w:lang w:val="en-GB"/>
              </w:rPr>
              <w:t>March - April 2021</w:t>
            </w:r>
          </w:p>
        </w:tc>
      </w:tr>
      <w:tr w:rsidR="00BA6250" w:rsidRPr="00AD7EBC" w14:paraId="6056637B" w14:textId="77777777" w:rsidTr="00911690">
        <w:trPr>
          <w:trHeight w:val="279"/>
        </w:trPr>
        <w:tc>
          <w:tcPr>
            <w:tcW w:w="6181" w:type="dxa"/>
            <w:vAlign w:val="center"/>
          </w:tcPr>
          <w:p w14:paraId="19C77017" w14:textId="77777777" w:rsidR="00BA6250" w:rsidRPr="00AD7EBC" w:rsidRDefault="00BA6250" w:rsidP="00BA6250">
            <w:pPr>
              <w:pStyle w:val="BodyText"/>
              <w:rPr>
                <w:sz w:val="20"/>
                <w:szCs w:val="20"/>
                <w:lang w:val="en-GB"/>
              </w:rPr>
            </w:pPr>
            <w:r w:rsidRPr="00AD7EBC">
              <w:rPr>
                <w:sz w:val="20"/>
                <w:szCs w:val="20"/>
                <w:lang w:val="en-GB"/>
              </w:rPr>
              <w:t>Final Endline Study Report submitted to the FM</w:t>
            </w:r>
          </w:p>
        </w:tc>
        <w:tc>
          <w:tcPr>
            <w:tcW w:w="2799" w:type="dxa"/>
            <w:vAlign w:val="center"/>
          </w:tcPr>
          <w:p w14:paraId="1323D2B0" w14:textId="175B19EE" w:rsidR="00BA6250" w:rsidRPr="00AD7EBC" w:rsidRDefault="00BA6250" w:rsidP="00BA6250">
            <w:pPr>
              <w:pStyle w:val="BodyText"/>
              <w:rPr>
                <w:sz w:val="20"/>
                <w:szCs w:val="20"/>
                <w:lang w:val="en-GB"/>
              </w:rPr>
            </w:pPr>
            <w:r w:rsidRPr="00AD7EBC">
              <w:rPr>
                <w:sz w:val="20"/>
                <w:szCs w:val="20"/>
                <w:lang w:val="en-GB"/>
              </w:rPr>
              <w:t>End June 2021</w:t>
            </w:r>
          </w:p>
        </w:tc>
      </w:tr>
    </w:tbl>
    <w:p w14:paraId="331A28D0" w14:textId="77777777" w:rsidR="00694C68" w:rsidRPr="00AD7EBC" w:rsidRDefault="00694C68" w:rsidP="007C7D0F">
      <w:pPr>
        <w:pStyle w:val="BodyText"/>
        <w:ind w:left="100"/>
        <w:jc w:val="both"/>
        <w:rPr>
          <w:lang w:val="en-GB"/>
        </w:rPr>
      </w:pPr>
    </w:p>
    <w:p w14:paraId="39839EAD" w14:textId="77777777" w:rsidR="007C7D0F" w:rsidRPr="00AD7EBC" w:rsidRDefault="007C7D0F" w:rsidP="007C7D0F">
      <w:pPr>
        <w:pStyle w:val="ListParagraph"/>
        <w:numPr>
          <w:ilvl w:val="1"/>
          <w:numId w:val="2"/>
        </w:numPr>
        <w:tabs>
          <w:tab w:val="left" w:pos="821"/>
        </w:tabs>
        <w:spacing w:before="157"/>
        <w:jc w:val="both"/>
        <w:rPr>
          <w:lang w:val="en-GB"/>
        </w:rPr>
      </w:pPr>
      <w:r w:rsidRPr="00AD7EBC">
        <w:rPr>
          <w:color w:val="1F487C"/>
          <w:lang w:val="en-GB"/>
        </w:rPr>
        <w:t>Responsibilities</w:t>
      </w:r>
    </w:p>
    <w:p w14:paraId="2B58B4C5" w14:textId="77777777" w:rsidR="00A07C00" w:rsidRDefault="00A07C00" w:rsidP="002D4862">
      <w:pPr>
        <w:jc w:val="both"/>
      </w:pPr>
    </w:p>
    <w:p w14:paraId="67189CC8" w14:textId="634580A3" w:rsidR="002D4862" w:rsidRDefault="00A07C00" w:rsidP="002D4862">
      <w:pPr>
        <w:jc w:val="both"/>
      </w:pPr>
      <w:r>
        <w:t>R</w:t>
      </w:r>
      <w:r w:rsidR="002D4862">
        <w:t xml:space="preserve">esponsibility for supervising and leading on monitoring activities of REALISE, including reporting, tracking and updating the MEAL plan and MEAL workplan, lies with the REALISE </w:t>
      </w:r>
      <w:r>
        <w:t xml:space="preserve">REALM </w:t>
      </w:r>
      <w:r w:rsidR="002D4862">
        <w:t>Manager</w:t>
      </w:r>
      <w:r>
        <w:t xml:space="preserve">. They fulfil research, evaluation, accountability, learning and monitoring functions. </w:t>
      </w:r>
      <w:r w:rsidR="002D4862">
        <w:t xml:space="preserve">The </w:t>
      </w:r>
      <w:r>
        <w:t xml:space="preserve">REALISE Chief of Party </w:t>
      </w:r>
      <w:r w:rsidR="002D4862">
        <w:t xml:space="preserve">is responsible for having oversight of the whole project, especially regarding interventions implementation and award management and reporting, but also oversees MEAL work and intervenes to help solve any high-level issues related to MEAL. </w:t>
      </w:r>
    </w:p>
    <w:p w14:paraId="36438624" w14:textId="77777777" w:rsidR="002D4862" w:rsidRDefault="002D4862" w:rsidP="002D4862">
      <w:pPr>
        <w:jc w:val="both"/>
      </w:pPr>
    </w:p>
    <w:p w14:paraId="2C208D95" w14:textId="7CBAC962" w:rsidR="00A07C00" w:rsidRDefault="00A07C00" w:rsidP="002D4862">
      <w:pPr>
        <w:jc w:val="both"/>
      </w:pPr>
      <w:r>
        <w:t xml:space="preserve">Regional MEAL officers will oversee routine data collection from field officers and share that with the REALM specialist and their database assistant. </w:t>
      </w:r>
    </w:p>
    <w:p w14:paraId="0CA8D3CD" w14:textId="77777777" w:rsidR="00A07C00" w:rsidRDefault="00A07C00" w:rsidP="002D4862">
      <w:pPr>
        <w:jc w:val="both"/>
      </w:pPr>
    </w:p>
    <w:p w14:paraId="577DD29E" w14:textId="17F1C944" w:rsidR="002D4862" w:rsidRDefault="00A07C00" w:rsidP="002D4862">
      <w:pPr>
        <w:jc w:val="both"/>
      </w:pPr>
      <w:r>
        <w:t xml:space="preserve">The REALM </w:t>
      </w:r>
      <w:r w:rsidR="002D4862">
        <w:t xml:space="preserve">Manager will use the data collected in each province to collate and centralize a database in order to conduct data analysis for project’s use, improvement and management. SCI </w:t>
      </w:r>
      <w:r>
        <w:t xml:space="preserve">DRC has a portfolio-wide </w:t>
      </w:r>
      <w:r w:rsidR="002D4862">
        <w:t xml:space="preserve">MEAL </w:t>
      </w:r>
      <w:r>
        <w:t xml:space="preserve">Manager. They will </w:t>
      </w:r>
      <w:r w:rsidR="002D4862">
        <w:t xml:space="preserve">provide guidance and support to the </w:t>
      </w:r>
      <w:r>
        <w:lastRenderedPageBreak/>
        <w:t>REALM specialist</w:t>
      </w:r>
      <w:r w:rsidR="002D4862">
        <w:t xml:space="preserve">. </w:t>
      </w:r>
    </w:p>
    <w:p w14:paraId="1105D271" w14:textId="77777777" w:rsidR="002D4862" w:rsidRDefault="002D4862" w:rsidP="002D4862">
      <w:pPr>
        <w:jc w:val="both"/>
      </w:pPr>
    </w:p>
    <w:p w14:paraId="2766E0C4" w14:textId="62DE97DC" w:rsidR="002D4862" w:rsidRPr="00426EE8" w:rsidRDefault="002D4862" w:rsidP="002D4862">
      <w:pPr>
        <w:jc w:val="both"/>
      </w:pPr>
      <w:r>
        <w:t>The SCUK MEAL Advisor is based in London, offering bespoke technical support and advice when the project needs. She is also responsible in reviewing reportin</w:t>
      </w:r>
      <w:r w:rsidR="003A6A66">
        <w:t>g documents and various reports</w:t>
      </w:r>
      <w:r>
        <w:t xml:space="preserve"> and is also part of the Evaluation Steering Committee. She would be one of the main contacts between the FM M&amp;E Specialist and </w:t>
      </w:r>
      <w:r w:rsidR="00A07C00">
        <w:t>REALISE staff</w:t>
      </w:r>
      <w:r>
        <w:t xml:space="preserve">. The SCUK MEAL Advisor is also responsible for providing trainings in the country office when the capacity cannot be found nationally, as well as providing supervision and guidance in managing the External Evaluators. </w:t>
      </w:r>
    </w:p>
    <w:p w14:paraId="30C97D05" w14:textId="77777777" w:rsidR="002D4862" w:rsidRDefault="002D4862" w:rsidP="002D4862">
      <w:pPr>
        <w:jc w:val="both"/>
        <w:rPr>
          <w:color w:val="ED7D31" w:themeColor="accent2"/>
        </w:rPr>
      </w:pPr>
    </w:p>
    <w:p w14:paraId="4D4F126B" w14:textId="2267B783" w:rsidR="00A07C00" w:rsidRDefault="002D4862" w:rsidP="00A07C00">
      <w:r>
        <w:t>The External Evaluators (EE) are responsible to implement successfully a baseline assessment, a midline study, and an endline study to evaluate the project and provide findings on the project’s results towards girls’ learning and transition outcomes. Not only the EE will verify the relevance of the project’s Theory of Change during the project’s life, they will also try to establish a causal link between the project’s interven</w:t>
      </w:r>
      <w:r w:rsidR="003A6A66">
        <w:t>tions and the project’s results</w:t>
      </w:r>
      <w:r>
        <w:t xml:space="preserve"> and give explanations about how and why they happened. Therefore, the project expects the EE to provide insights on the intended and unintended effects of the project, and why they happened. In addition, the EE will give recommendations to the project staff at each evaluation point on how to improve the project and the future evaluation studies, and in return, the project will provide a management response accordingly and take further actions to implement the recommendations as much as they can. </w:t>
      </w:r>
    </w:p>
    <w:p w14:paraId="4206D778" w14:textId="77777777" w:rsidR="00A07C00" w:rsidRDefault="00A07C00">
      <w:pPr>
        <w:widowControl/>
        <w:spacing w:after="160" w:line="259" w:lineRule="auto"/>
      </w:pPr>
      <w:r>
        <w:br w:type="page"/>
      </w:r>
    </w:p>
    <w:p w14:paraId="595C3974" w14:textId="15A47224" w:rsidR="007C7D0F" w:rsidRPr="00AD7EBC" w:rsidRDefault="007C7D0F" w:rsidP="00C21EEA">
      <w:pPr>
        <w:pStyle w:val="Heading2"/>
      </w:pPr>
      <w:bookmarkStart w:id="15" w:name="_Toc506203087"/>
      <w:r w:rsidRPr="00AD7EBC">
        <w:lastRenderedPageBreak/>
        <w:t>Annexes</w:t>
      </w:r>
      <w:bookmarkEnd w:id="15"/>
    </w:p>
    <w:p w14:paraId="4214F1E1" w14:textId="77777777" w:rsidR="007C7D0F" w:rsidRPr="00AD7EBC" w:rsidRDefault="007C7D0F" w:rsidP="007C7D0F">
      <w:pPr>
        <w:pStyle w:val="ListParagraph"/>
        <w:numPr>
          <w:ilvl w:val="0"/>
          <w:numId w:val="1"/>
        </w:numPr>
        <w:tabs>
          <w:tab w:val="left" w:pos="820"/>
          <w:tab w:val="left" w:pos="821"/>
        </w:tabs>
        <w:spacing w:before="160"/>
        <w:rPr>
          <w:lang w:val="en-GB"/>
        </w:rPr>
      </w:pPr>
      <w:r w:rsidRPr="00AD7EBC">
        <w:rPr>
          <w:lang w:val="en-GB"/>
        </w:rPr>
        <w:t>Logframe</w:t>
      </w:r>
    </w:p>
    <w:p w14:paraId="38901D4E" w14:textId="77777777" w:rsidR="007C7D0F" w:rsidRPr="00AD7EBC" w:rsidRDefault="007C7D0F" w:rsidP="007C7D0F">
      <w:pPr>
        <w:pStyle w:val="ListParagraph"/>
        <w:numPr>
          <w:ilvl w:val="0"/>
          <w:numId w:val="1"/>
        </w:numPr>
        <w:tabs>
          <w:tab w:val="left" w:pos="820"/>
          <w:tab w:val="left" w:pos="821"/>
        </w:tabs>
        <w:spacing w:before="37"/>
        <w:rPr>
          <w:lang w:val="en-GB"/>
        </w:rPr>
      </w:pPr>
      <w:r w:rsidRPr="00AD7EBC">
        <w:rPr>
          <w:lang w:val="en-GB"/>
        </w:rPr>
        <w:t>Draft evaluation tools (if already</w:t>
      </w:r>
      <w:r w:rsidRPr="00AD7EBC">
        <w:rPr>
          <w:spacing w:val="-21"/>
          <w:lang w:val="en-GB"/>
        </w:rPr>
        <w:t xml:space="preserve"> </w:t>
      </w:r>
      <w:r w:rsidRPr="00AD7EBC">
        <w:rPr>
          <w:lang w:val="en-GB"/>
        </w:rPr>
        <w:t>available)</w:t>
      </w:r>
    </w:p>
    <w:p w14:paraId="0BC107A4" w14:textId="77777777" w:rsidR="007C7D0F" w:rsidRPr="00AD7EBC" w:rsidRDefault="007C7D0F" w:rsidP="007C7D0F">
      <w:pPr>
        <w:pStyle w:val="ListParagraph"/>
        <w:numPr>
          <w:ilvl w:val="0"/>
          <w:numId w:val="1"/>
        </w:numPr>
        <w:tabs>
          <w:tab w:val="left" w:pos="820"/>
          <w:tab w:val="left" w:pos="821"/>
        </w:tabs>
        <w:spacing w:before="40"/>
        <w:rPr>
          <w:lang w:val="en-GB"/>
        </w:rPr>
      </w:pPr>
      <w:r w:rsidRPr="00AD7EBC">
        <w:rPr>
          <w:lang w:val="en-GB"/>
        </w:rPr>
        <w:t>Completed ToR for</w:t>
      </w:r>
      <w:r w:rsidRPr="00AD7EBC">
        <w:rPr>
          <w:spacing w:val="-5"/>
          <w:lang w:val="en-GB"/>
        </w:rPr>
        <w:t xml:space="preserve"> </w:t>
      </w:r>
      <w:r w:rsidRPr="00AD7EBC">
        <w:rPr>
          <w:lang w:val="en-GB"/>
        </w:rPr>
        <w:t>evaluators</w:t>
      </w:r>
    </w:p>
    <w:p w14:paraId="561C8441" w14:textId="6AE5D66F" w:rsidR="00ED012E" w:rsidRPr="00AD7EBC" w:rsidRDefault="007C7D0F" w:rsidP="007C7D0F">
      <w:pPr>
        <w:pStyle w:val="ListParagraph"/>
        <w:numPr>
          <w:ilvl w:val="0"/>
          <w:numId w:val="1"/>
        </w:numPr>
        <w:tabs>
          <w:tab w:val="left" w:pos="820"/>
          <w:tab w:val="left" w:pos="821"/>
        </w:tabs>
        <w:spacing w:before="37"/>
        <w:rPr>
          <w:lang w:val="en-GB"/>
        </w:rPr>
      </w:pPr>
      <w:r w:rsidRPr="00AD7EBC">
        <w:rPr>
          <w:lang w:val="en-GB"/>
        </w:rPr>
        <w:t>Draft Sampling</w:t>
      </w:r>
      <w:r w:rsidRPr="00AD7EBC">
        <w:rPr>
          <w:spacing w:val="-9"/>
          <w:lang w:val="en-GB"/>
        </w:rPr>
        <w:t xml:space="preserve"> </w:t>
      </w:r>
      <w:r w:rsidRPr="00AD7EBC">
        <w:rPr>
          <w:lang w:val="en-GB"/>
        </w:rPr>
        <w:t>Framework</w:t>
      </w:r>
    </w:p>
    <w:sectPr w:rsidR="00ED012E" w:rsidRPr="00AD7EB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D8665" w14:textId="77777777" w:rsidR="00FB628E" w:rsidRDefault="00FB628E" w:rsidP="00B23DE5">
      <w:r>
        <w:separator/>
      </w:r>
    </w:p>
  </w:endnote>
  <w:endnote w:type="continuationSeparator" w:id="0">
    <w:p w14:paraId="5A5F8940" w14:textId="77777777" w:rsidR="00FB628E" w:rsidRDefault="00FB628E" w:rsidP="00B2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MT">
    <w:altName w:val="Arial"/>
    <w:panose1 w:val="020B0604020202020204"/>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166434"/>
      <w:docPartObj>
        <w:docPartGallery w:val="Page Numbers (Bottom of Page)"/>
        <w:docPartUnique/>
      </w:docPartObj>
    </w:sdtPr>
    <w:sdtEndPr>
      <w:rPr>
        <w:noProof/>
        <w:sz w:val="16"/>
      </w:rPr>
    </w:sdtEndPr>
    <w:sdtContent>
      <w:p w14:paraId="5032468C" w14:textId="06AE52F9" w:rsidR="00BA54C4" w:rsidRPr="00AB15C1" w:rsidRDefault="00BA54C4">
        <w:pPr>
          <w:pStyle w:val="Footer"/>
          <w:jc w:val="right"/>
          <w:rPr>
            <w:sz w:val="16"/>
          </w:rPr>
        </w:pPr>
        <w:r w:rsidRPr="00AB15C1">
          <w:rPr>
            <w:sz w:val="16"/>
          </w:rPr>
          <w:fldChar w:fldCharType="begin"/>
        </w:r>
        <w:r w:rsidRPr="00AB15C1">
          <w:rPr>
            <w:sz w:val="16"/>
          </w:rPr>
          <w:instrText xml:space="preserve"> PAGE   \* MERGEFORMAT </w:instrText>
        </w:r>
        <w:r w:rsidRPr="00AB15C1">
          <w:rPr>
            <w:sz w:val="16"/>
          </w:rPr>
          <w:fldChar w:fldCharType="separate"/>
        </w:r>
        <w:r>
          <w:rPr>
            <w:noProof/>
            <w:sz w:val="16"/>
          </w:rPr>
          <w:t>39</w:t>
        </w:r>
        <w:r w:rsidRPr="00AB15C1">
          <w:rPr>
            <w:noProof/>
            <w:sz w:val="16"/>
          </w:rPr>
          <w:fldChar w:fldCharType="end"/>
        </w:r>
      </w:p>
    </w:sdtContent>
  </w:sdt>
  <w:p w14:paraId="34089990" w14:textId="77777777" w:rsidR="00BA54C4" w:rsidRDefault="00BA5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41DB5" w14:textId="77777777" w:rsidR="00FB628E" w:rsidRDefault="00FB628E" w:rsidP="00B23DE5">
      <w:r>
        <w:separator/>
      </w:r>
    </w:p>
  </w:footnote>
  <w:footnote w:type="continuationSeparator" w:id="0">
    <w:p w14:paraId="36F2FE67" w14:textId="77777777" w:rsidR="00FB628E" w:rsidRDefault="00FB628E" w:rsidP="00B23DE5">
      <w:r>
        <w:continuationSeparator/>
      </w:r>
    </w:p>
  </w:footnote>
  <w:footnote w:id="1">
    <w:p w14:paraId="37DFEC43" w14:textId="77777777" w:rsidR="00BA54C4" w:rsidRPr="00C17A2E" w:rsidRDefault="00BA54C4" w:rsidP="00682B5E">
      <w:pPr>
        <w:pStyle w:val="FootnoteText"/>
        <w:rPr>
          <w:sz w:val="18"/>
        </w:rPr>
      </w:pPr>
      <w:r w:rsidRPr="00C17A2E">
        <w:rPr>
          <w:rStyle w:val="FootnoteReference"/>
          <w:sz w:val="18"/>
        </w:rPr>
        <w:footnoteRef/>
      </w:r>
      <w:r w:rsidRPr="00C17A2E">
        <w:rPr>
          <w:sz w:val="18"/>
        </w:rPr>
        <w:t xml:space="preserve"> UN, via PopulationPyramid.net</w:t>
      </w:r>
    </w:p>
  </w:footnote>
  <w:footnote w:id="2">
    <w:p w14:paraId="24779FCE" w14:textId="77777777" w:rsidR="00BA54C4" w:rsidRPr="00C22801" w:rsidRDefault="00BA54C4" w:rsidP="00682B5E">
      <w:pPr>
        <w:pStyle w:val="FootnoteText"/>
        <w:rPr>
          <w:sz w:val="18"/>
          <w:szCs w:val="18"/>
        </w:rPr>
      </w:pPr>
      <w:r w:rsidRPr="00C22801">
        <w:rPr>
          <w:rStyle w:val="FootnoteReference"/>
          <w:sz w:val="18"/>
          <w:szCs w:val="18"/>
        </w:rPr>
        <w:footnoteRef/>
      </w:r>
      <w:r w:rsidRPr="00C22801">
        <w:rPr>
          <w:sz w:val="18"/>
          <w:szCs w:val="18"/>
        </w:rPr>
        <w:t xml:space="preserve"> UNDP (2015) </w:t>
      </w:r>
      <w:hyperlink r:id="rId1" w:history="1">
        <w:r w:rsidRPr="00C22801">
          <w:rPr>
            <w:rStyle w:val="Hyperlink"/>
            <w:i/>
            <w:sz w:val="18"/>
            <w:szCs w:val="18"/>
          </w:rPr>
          <w:t>HDI Country Notes</w:t>
        </w:r>
      </w:hyperlink>
      <w:r w:rsidRPr="00C22801">
        <w:rPr>
          <w:i/>
          <w:sz w:val="18"/>
          <w:szCs w:val="18"/>
        </w:rPr>
        <w:t xml:space="preserve"> </w:t>
      </w:r>
    </w:p>
  </w:footnote>
  <w:footnote w:id="3">
    <w:p w14:paraId="5BF90053" w14:textId="77777777" w:rsidR="00BA54C4" w:rsidRPr="00B23DE5" w:rsidRDefault="00BA54C4">
      <w:pPr>
        <w:pStyle w:val="FootnoteText"/>
        <w:rPr>
          <w:lang w:val="en-GB"/>
        </w:rPr>
      </w:pPr>
      <w:r w:rsidRPr="00B23DE5">
        <w:rPr>
          <w:rStyle w:val="FootnoteReference"/>
        </w:rPr>
        <w:sym w:font="Symbol" w:char="F02A"/>
      </w:r>
      <w:r>
        <w:t xml:space="preserve"> </w:t>
      </w:r>
      <w:r w:rsidRPr="00275770">
        <w:rPr>
          <w:sz w:val="18"/>
          <w:lang w:val="en-GB"/>
        </w:rPr>
        <w:t>As defined in PwC MEL Guidance Part 2 – Evaluation questions section.</w:t>
      </w:r>
    </w:p>
  </w:footnote>
  <w:footnote w:id="4">
    <w:p w14:paraId="7A8E54C7" w14:textId="77777777" w:rsidR="00BA54C4" w:rsidRPr="00B23DE5" w:rsidRDefault="00BA54C4">
      <w:pPr>
        <w:pStyle w:val="FootnoteText"/>
        <w:rPr>
          <w:lang w:val="en-GB"/>
        </w:rPr>
      </w:pPr>
      <w:r w:rsidRPr="00B23DE5">
        <w:rPr>
          <w:rStyle w:val="FootnoteReference"/>
        </w:rPr>
        <w:sym w:font="Symbol" w:char="F02A"/>
      </w:r>
      <w:r>
        <w:t xml:space="preserve"> </w:t>
      </w:r>
      <w:r w:rsidRPr="00275770">
        <w:rPr>
          <w:sz w:val="18"/>
          <w:lang w:val="en-GB"/>
        </w:rPr>
        <w:t>As defined in PwC MEL Guidance Part 2 – Evaluation questions section.</w:t>
      </w:r>
    </w:p>
  </w:footnote>
  <w:footnote w:id="5">
    <w:p w14:paraId="41575453" w14:textId="77777777" w:rsidR="00BA54C4" w:rsidRPr="00D02D61" w:rsidRDefault="00BA54C4">
      <w:pPr>
        <w:pStyle w:val="FootnoteText"/>
        <w:rPr>
          <w:lang w:val="en-GB"/>
        </w:rPr>
      </w:pPr>
      <w:r w:rsidRPr="00D02D61">
        <w:rPr>
          <w:rStyle w:val="FootnoteReference"/>
        </w:rPr>
        <w:sym w:font="Symbol" w:char="F02A"/>
      </w:r>
      <w:r>
        <w:t xml:space="preserve"> </w:t>
      </w:r>
      <w:r w:rsidRPr="00275770">
        <w:rPr>
          <w:sz w:val="18"/>
          <w:lang w:val="en-GB"/>
        </w:rPr>
        <w:t>As defined in PwC MEL Guidance Part 2 – Evaluation questions section.</w:t>
      </w:r>
    </w:p>
  </w:footnote>
  <w:footnote w:id="6">
    <w:p w14:paraId="4E4ABBB5" w14:textId="77777777" w:rsidR="00BA54C4" w:rsidRPr="00D02D61" w:rsidRDefault="00BA54C4">
      <w:pPr>
        <w:pStyle w:val="FootnoteText"/>
        <w:rPr>
          <w:lang w:val="en-GB"/>
        </w:rPr>
      </w:pPr>
      <w:r w:rsidRPr="00D02D61">
        <w:rPr>
          <w:rStyle w:val="FootnoteReference"/>
        </w:rPr>
        <w:sym w:font="Symbol" w:char="F02A"/>
      </w:r>
      <w:r>
        <w:t xml:space="preserve"> </w:t>
      </w:r>
      <w:r w:rsidRPr="00275770">
        <w:rPr>
          <w:sz w:val="18"/>
          <w:lang w:val="en-GB"/>
        </w:rPr>
        <w:t>As defined in PwC MEL Guidance Part 2 – Evaluation questions section.</w:t>
      </w:r>
    </w:p>
  </w:footnote>
  <w:footnote w:id="7">
    <w:p w14:paraId="14D27A13" w14:textId="77777777" w:rsidR="003075EA" w:rsidRPr="003E646C" w:rsidRDefault="003075EA" w:rsidP="003075EA">
      <w:pPr>
        <w:pStyle w:val="FootnoteText"/>
        <w:rPr>
          <w:lang w:val="en-GB"/>
        </w:rPr>
      </w:pPr>
      <w:r>
        <w:rPr>
          <w:rStyle w:val="FootnoteReference"/>
        </w:rPr>
        <w:footnoteRef/>
      </w:r>
      <w:r>
        <w:t xml:space="preserve"> </w:t>
      </w:r>
      <w:r w:rsidRPr="003E646C">
        <w:t>http://www.suttontrust.com/wp-content/uploads/2014/10/What-Makes-Great-Teaching-REPORT.pdf</w:t>
      </w:r>
    </w:p>
  </w:footnote>
  <w:footnote w:id="8">
    <w:p w14:paraId="240FFA81" w14:textId="77777777" w:rsidR="00BA54C4" w:rsidRPr="00A50DCF" w:rsidRDefault="00BA54C4" w:rsidP="007341A6">
      <w:pPr>
        <w:pStyle w:val="FootnoteText"/>
        <w:rPr>
          <w:sz w:val="18"/>
          <w:szCs w:val="18"/>
        </w:rPr>
      </w:pPr>
      <w:r w:rsidRPr="00A50DCF">
        <w:rPr>
          <w:rStyle w:val="FootnoteReference"/>
          <w:sz w:val="18"/>
          <w:szCs w:val="18"/>
        </w:rPr>
        <w:footnoteRef/>
      </w:r>
      <w:r w:rsidRPr="00A50DCF">
        <w:rPr>
          <w:sz w:val="18"/>
          <w:szCs w:val="18"/>
        </w:rPr>
        <w:t xml:space="preserve"> https://www.gov.uk/government/uploads/system/uploads/attachment_data/file/428382/Beneficiary-Feedback-Feb15a.pdf</w:t>
      </w:r>
    </w:p>
  </w:footnote>
  <w:footnote w:id="9">
    <w:p w14:paraId="1409E1FC" w14:textId="77777777" w:rsidR="00BA54C4" w:rsidRPr="00A50DCF" w:rsidRDefault="00BA54C4" w:rsidP="007341A6">
      <w:pPr>
        <w:pStyle w:val="FootnoteText"/>
        <w:rPr>
          <w:sz w:val="18"/>
          <w:szCs w:val="18"/>
        </w:rPr>
      </w:pPr>
      <w:r w:rsidRPr="00A50DCF">
        <w:rPr>
          <w:rStyle w:val="FootnoteReference"/>
          <w:sz w:val="18"/>
          <w:szCs w:val="18"/>
        </w:rPr>
        <w:footnoteRef/>
      </w:r>
      <w:r w:rsidRPr="00A50DCF">
        <w:rPr>
          <w:sz w:val="18"/>
          <w:szCs w:val="18"/>
        </w:rPr>
        <w:t xml:space="preserve"> https://www.savethechildren.org.uk/sites/default/files/docs/safeguarding-children.pdf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6A4"/>
    <w:multiLevelType w:val="multilevel"/>
    <w:tmpl w:val="02A82438"/>
    <w:lvl w:ilvl="0">
      <w:start w:val="12"/>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cs="Arial" w:hint="default"/>
        <w:color w:val="1F487C"/>
        <w:spacing w:val="-1"/>
        <w:w w:val="100"/>
        <w:sz w:val="22"/>
        <w:szCs w:val="22"/>
      </w:rPr>
    </w:lvl>
    <w:lvl w:ilvl="2">
      <w:numFmt w:val="bullet"/>
      <w:lvlText w:val=""/>
      <w:lvlJc w:val="left"/>
      <w:pPr>
        <w:ind w:left="828" w:hanging="504"/>
      </w:pPr>
      <w:rPr>
        <w:rFonts w:ascii="Symbol" w:eastAsia="Symbol" w:hAnsi="Symbol" w:cs="Symbol" w:hint="default"/>
        <w:color w:val="365F91"/>
        <w:w w:val="100"/>
        <w:sz w:val="22"/>
        <w:szCs w:val="22"/>
      </w:rPr>
    </w:lvl>
    <w:lvl w:ilvl="3">
      <w:numFmt w:val="bullet"/>
      <w:lvlText w:val=""/>
      <w:lvlJc w:val="left"/>
      <w:pPr>
        <w:ind w:left="828" w:hanging="281"/>
      </w:pPr>
      <w:rPr>
        <w:rFonts w:ascii="Symbol" w:eastAsia="Symbol" w:hAnsi="Symbol" w:cs="Symbol" w:hint="default"/>
        <w:color w:val="365F91"/>
        <w:w w:val="100"/>
        <w:sz w:val="22"/>
        <w:szCs w:val="22"/>
      </w:rPr>
    </w:lvl>
    <w:lvl w:ilvl="4">
      <w:numFmt w:val="bullet"/>
      <w:lvlText w:val="•"/>
      <w:lvlJc w:val="left"/>
      <w:pPr>
        <w:ind w:left="4187" w:hanging="281"/>
      </w:pPr>
      <w:rPr>
        <w:rFonts w:hint="default"/>
      </w:rPr>
    </w:lvl>
    <w:lvl w:ilvl="5">
      <w:numFmt w:val="bullet"/>
      <w:lvlText w:val="•"/>
      <w:lvlJc w:val="left"/>
      <w:pPr>
        <w:ind w:left="5029" w:hanging="281"/>
      </w:pPr>
      <w:rPr>
        <w:rFonts w:hint="default"/>
      </w:rPr>
    </w:lvl>
    <w:lvl w:ilvl="6">
      <w:numFmt w:val="bullet"/>
      <w:lvlText w:val="•"/>
      <w:lvlJc w:val="left"/>
      <w:pPr>
        <w:ind w:left="5871" w:hanging="281"/>
      </w:pPr>
      <w:rPr>
        <w:rFonts w:hint="default"/>
      </w:rPr>
    </w:lvl>
    <w:lvl w:ilvl="7">
      <w:numFmt w:val="bullet"/>
      <w:lvlText w:val="•"/>
      <w:lvlJc w:val="left"/>
      <w:pPr>
        <w:ind w:left="6713" w:hanging="281"/>
      </w:pPr>
      <w:rPr>
        <w:rFonts w:hint="default"/>
      </w:rPr>
    </w:lvl>
    <w:lvl w:ilvl="8">
      <w:numFmt w:val="bullet"/>
      <w:lvlText w:val="•"/>
      <w:lvlJc w:val="left"/>
      <w:pPr>
        <w:ind w:left="7555" w:hanging="281"/>
      </w:pPr>
      <w:rPr>
        <w:rFonts w:hint="default"/>
      </w:rPr>
    </w:lvl>
  </w:abstractNum>
  <w:abstractNum w:abstractNumId="1" w15:restartNumberingAfterBreak="0">
    <w:nsid w:val="021520D8"/>
    <w:multiLevelType w:val="hybridMultilevel"/>
    <w:tmpl w:val="4C8C283C"/>
    <w:lvl w:ilvl="0" w:tplc="08090015">
      <w:start w:val="1"/>
      <w:numFmt w:val="upp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09385B48"/>
    <w:multiLevelType w:val="hybridMultilevel"/>
    <w:tmpl w:val="3CBE9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C0DA4"/>
    <w:multiLevelType w:val="hybridMultilevel"/>
    <w:tmpl w:val="0B4493B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95481"/>
    <w:multiLevelType w:val="multilevel"/>
    <w:tmpl w:val="6A886288"/>
    <w:lvl w:ilvl="0">
      <w:start w:val="5"/>
      <w:numFmt w:val="decimal"/>
      <w:lvlText w:val="%1"/>
      <w:lvlJc w:val="left"/>
      <w:pPr>
        <w:ind w:left="472" w:hanging="372"/>
      </w:pPr>
      <w:rPr>
        <w:rFonts w:hint="default"/>
      </w:rPr>
    </w:lvl>
    <w:lvl w:ilvl="1">
      <w:start w:val="3"/>
      <w:numFmt w:val="decimal"/>
      <w:lvlText w:val="%1.%2"/>
      <w:lvlJc w:val="left"/>
      <w:pPr>
        <w:ind w:left="472" w:hanging="372"/>
      </w:pPr>
      <w:rPr>
        <w:rFonts w:ascii="Arial" w:eastAsia="Arial" w:hAnsi="Arial" w:cs="Arial" w:hint="default"/>
        <w:color w:val="1F487C"/>
        <w:w w:val="100"/>
        <w:sz w:val="22"/>
        <w:szCs w:val="22"/>
      </w:rPr>
    </w:lvl>
    <w:lvl w:ilvl="2">
      <w:start w:val="1"/>
      <w:numFmt w:val="lowerLetter"/>
      <w:lvlText w:val="%3)"/>
      <w:lvlJc w:val="left"/>
      <w:pPr>
        <w:ind w:left="820" w:hanging="720"/>
      </w:pPr>
      <w:rPr>
        <w:rFonts w:hint="default"/>
        <w:color w:val="1F487C"/>
        <w:w w:val="100"/>
        <w:sz w:val="22"/>
        <w:szCs w:val="22"/>
      </w:rPr>
    </w:lvl>
    <w:lvl w:ilvl="3">
      <w:numFmt w:val="bullet"/>
      <w:lvlText w:val="•"/>
      <w:lvlJc w:val="left"/>
      <w:pPr>
        <w:ind w:left="2690" w:hanging="720"/>
      </w:pPr>
      <w:rPr>
        <w:rFonts w:hint="default"/>
      </w:rPr>
    </w:lvl>
    <w:lvl w:ilvl="4">
      <w:numFmt w:val="bullet"/>
      <w:lvlText w:val="•"/>
      <w:lvlJc w:val="left"/>
      <w:pPr>
        <w:ind w:left="3626" w:hanging="720"/>
      </w:pPr>
      <w:rPr>
        <w:rFonts w:hint="default"/>
      </w:rPr>
    </w:lvl>
    <w:lvl w:ilvl="5">
      <w:numFmt w:val="bullet"/>
      <w:lvlText w:val="•"/>
      <w:lvlJc w:val="left"/>
      <w:pPr>
        <w:ind w:left="4561" w:hanging="720"/>
      </w:pPr>
      <w:rPr>
        <w:rFonts w:hint="default"/>
      </w:rPr>
    </w:lvl>
    <w:lvl w:ilvl="6">
      <w:numFmt w:val="bullet"/>
      <w:lvlText w:val="•"/>
      <w:lvlJc w:val="left"/>
      <w:pPr>
        <w:ind w:left="5497" w:hanging="720"/>
      </w:pPr>
      <w:rPr>
        <w:rFonts w:hint="default"/>
      </w:rPr>
    </w:lvl>
    <w:lvl w:ilvl="7">
      <w:numFmt w:val="bullet"/>
      <w:lvlText w:val="•"/>
      <w:lvlJc w:val="left"/>
      <w:pPr>
        <w:ind w:left="6432" w:hanging="720"/>
      </w:pPr>
      <w:rPr>
        <w:rFonts w:hint="default"/>
      </w:rPr>
    </w:lvl>
    <w:lvl w:ilvl="8">
      <w:numFmt w:val="bullet"/>
      <w:lvlText w:val="•"/>
      <w:lvlJc w:val="left"/>
      <w:pPr>
        <w:ind w:left="7368" w:hanging="720"/>
      </w:pPr>
      <w:rPr>
        <w:rFonts w:hint="default"/>
      </w:rPr>
    </w:lvl>
  </w:abstractNum>
  <w:abstractNum w:abstractNumId="5" w15:restartNumberingAfterBreak="0">
    <w:nsid w:val="13061408"/>
    <w:multiLevelType w:val="hybridMultilevel"/>
    <w:tmpl w:val="4456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20098"/>
    <w:multiLevelType w:val="hybridMultilevel"/>
    <w:tmpl w:val="0B4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2362E"/>
    <w:multiLevelType w:val="hybridMultilevel"/>
    <w:tmpl w:val="039A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55749"/>
    <w:multiLevelType w:val="hybridMultilevel"/>
    <w:tmpl w:val="D9EA8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20A011A"/>
    <w:multiLevelType w:val="hybridMultilevel"/>
    <w:tmpl w:val="D172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45962"/>
    <w:multiLevelType w:val="hybridMultilevel"/>
    <w:tmpl w:val="930CDB96"/>
    <w:lvl w:ilvl="0" w:tplc="C40ED33C">
      <w:numFmt w:val="bullet"/>
      <w:lvlText w:val=""/>
      <w:lvlJc w:val="left"/>
      <w:pPr>
        <w:ind w:left="820" w:hanging="360"/>
      </w:pPr>
      <w:rPr>
        <w:rFonts w:ascii="Symbol" w:eastAsia="Symbol" w:hAnsi="Symbol" w:cs="Symbol" w:hint="default"/>
        <w:w w:val="100"/>
        <w:sz w:val="22"/>
        <w:szCs w:val="22"/>
      </w:rPr>
    </w:lvl>
    <w:lvl w:ilvl="1" w:tplc="22BE51E6">
      <w:numFmt w:val="bullet"/>
      <w:lvlText w:val="•"/>
      <w:lvlJc w:val="left"/>
      <w:pPr>
        <w:ind w:left="1661" w:hanging="360"/>
      </w:pPr>
      <w:rPr>
        <w:rFonts w:hint="default"/>
      </w:rPr>
    </w:lvl>
    <w:lvl w:ilvl="2" w:tplc="5BB22B90">
      <w:numFmt w:val="bullet"/>
      <w:lvlText w:val="•"/>
      <w:lvlJc w:val="left"/>
      <w:pPr>
        <w:ind w:left="2503" w:hanging="360"/>
      </w:pPr>
      <w:rPr>
        <w:rFonts w:hint="default"/>
      </w:rPr>
    </w:lvl>
    <w:lvl w:ilvl="3" w:tplc="7EA2A0B4">
      <w:numFmt w:val="bullet"/>
      <w:lvlText w:val="•"/>
      <w:lvlJc w:val="left"/>
      <w:pPr>
        <w:ind w:left="3345" w:hanging="360"/>
      </w:pPr>
      <w:rPr>
        <w:rFonts w:hint="default"/>
      </w:rPr>
    </w:lvl>
    <w:lvl w:ilvl="4" w:tplc="B52E329E">
      <w:numFmt w:val="bullet"/>
      <w:lvlText w:val="•"/>
      <w:lvlJc w:val="left"/>
      <w:pPr>
        <w:ind w:left="4187" w:hanging="360"/>
      </w:pPr>
      <w:rPr>
        <w:rFonts w:hint="default"/>
      </w:rPr>
    </w:lvl>
    <w:lvl w:ilvl="5" w:tplc="3254302E">
      <w:numFmt w:val="bullet"/>
      <w:lvlText w:val="•"/>
      <w:lvlJc w:val="left"/>
      <w:pPr>
        <w:ind w:left="5029" w:hanging="360"/>
      </w:pPr>
      <w:rPr>
        <w:rFonts w:hint="default"/>
      </w:rPr>
    </w:lvl>
    <w:lvl w:ilvl="6" w:tplc="DF44F626">
      <w:numFmt w:val="bullet"/>
      <w:lvlText w:val="•"/>
      <w:lvlJc w:val="left"/>
      <w:pPr>
        <w:ind w:left="5871" w:hanging="360"/>
      </w:pPr>
      <w:rPr>
        <w:rFonts w:hint="default"/>
      </w:rPr>
    </w:lvl>
    <w:lvl w:ilvl="7" w:tplc="AB44FCF2">
      <w:numFmt w:val="bullet"/>
      <w:lvlText w:val="•"/>
      <w:lvlJc w:val="left"/>
      <w:pPr>
        <w:ind w:left="6713" w:hanging="360"/>
      </w:pPr>
      <w:rPr>
        <w:rFonts w:hint="default"/>
      </w:rPr>
    </w:lvl>
    <w:lvl w:ilvl="8" w:tplc="6F1860C2">
      <w:numFmt w:val="bullet"/>
      <w:lvlText w:val="•"/>
      <w:lvlJc w:val="left"/>
      <w:pPr>
        <w:ind w:left="7555" w:hanging="360"/>
      </w:pPr>
      <w:rPr>
        <w:rFonts w:hint="default"/>
      </w:rPr>
    </w:lvl>
  </w:abstractNum>
  <w:abstractNum w:abstractNumId="11" w15:restartNumberingAfterBreak="0">
    <w:nsid w:val="335D31CA"/>
    <w:multiLevelType w:val="hybridMultilevel"/>
    <w:tmpl w:val="9E1887F6"/>
    <w:lvl w:ilvl="0" w:tplc="8834CE08">
      <w:start w:val="1"/>
      <w:numFmt w:val="decimal"/>
      <w:pStyle w:val="Heading2"/>
      <w:lvlText w:val="%1."/>
      <w:lvlJc w:val="left"/>
      <w:pPr>
        <w:ind w:left="100" w:hanging="360"/>
      </w:pPr>
      <w:rPr>
        <w:rFonts w:ascii="Arial" w:eastAsia="Arial" w:hAnsi="Arial" w:cs="Arial" w:hint="default"/>
        <w:b/>
        <w:bCs/>
        <w:i w:val="0"/>
        <w:color w:val="1F487C"/>
        <w:spacing w:val="-1"/>
        <w:w w:val="100"/>
        <w:sz w:val="22"/>
        <w:szCs w:val="22"/>
      </w:rPr>
    </w:lvl>
    <w:lvl w:ilvl="1" w:tplc="9BB29450">
      <w:numFmt w:val="bullet"/>
      <w:lvlText w:val=""/>
      <w:lvlJc w:val="left"/>
      <w:pPr>
        <w:ind w:left="820" w:hanging="360"/>
      </w:pPr>
      <w:rPr>
        <w:rFonts w:ascii="Symbol" w:eastAsia="Symbol" w:hAnsi="Symbol" w:cs="Symbol" w:hint="default"/>
        <w:w w:val="100"/>
        <w:sz w:val="22"/>
        <w:szCs w:val="22"/>
      </w:rPr>
    </w:lvl>
    <w:lvl w:ilvl="2" w:tplc="5978E27A">
      <w:numFmt w:val="bullet"/>
      <w:lvlText w:val="•"/>
      <w:lvlJc w:val="left"/>
      <w:pPr>
        <w:ind w:left="1755" w:hanging="360"/>
      </w:pPr>
      <w:rPr>
        <w:rFonts w:hint="default"/>
      </w:rPr>
    </w:lvl>
    <w:lvl w:ilvl="3" w:tplc="09820F56">
      <w:numFmt w:val="bullet"/>
      <w:lvlText w:val="•"/>
      <w:lvlJc w:val="left"/>
      <w:pPr>
        <w:ind w:left="2690" w:hanging="360"/>
      </w:pPr>
      <w:rPr>
        <w:rFonts w:hint="default"/>
      </w:rPr>
    </w:lvl>
    <w:lvl w:ilvl="4" w:tplc="97507DC8">
      <w:numFmt w:val="bullet"/>
      <w:lvlText w:val="•"/>
      <w:lvlJc w:val="left"/>
      <w:pPr>
        <w:ind w:left="3626" w:hanging="360"/>
      </w:pPr>
      <w:rPr>
        <w:rFonts w:hint="default"/>
      </w:rPr>
    </w:lvl>
    <w:lvl w:ilvl="5" w:tplc="056C646C">
      <w:numFmt w:val="bullet"/>
      <w:lvlText w:val="•"/>
      <w:lvlJc w:val="left"/>
      <w:pPr>
        <w:ind w:left="4561" w:hanging="360"/>
      </w:pPr>
      <w:rPr>
        <w:rFonts w:hint="default"/>
      </w:rPr>
    </w:lvl>
    <w:lvl w:ilvl="6" w:tplc="11EE31E4">
      <w:numFmt w:val="bullet"/>
      <w:lvlText w:val="•"/>
      <w:lvlJc w:val="left"/>
      <w:pPr>
        <w:ind w:left="5497" w:hanging="360"/>
      </w:pPr>
      <w:rPr>
        <w:rFonts w:hint="default"/>
      </w:rPr>
    </w:lvl>
    <w:lvl w:ilvl="7" w:tplc="3F147640">
      <w:numFmt w:val="bullet"/>
      <w:lvlText w:val="•"/>
      <w:lvlJc w:val="left"/>
      <w:pPr>
        <w:ind w:left="6432" w:hanging="360"/>
      </w:pPr>
      <w:rPr>
        <w:rFonts w:hint="default"/>
      </w:rPr>
    </w:lvl>
    <w:lvl w:ilvl="8" w:tplc="F38CDDD6">
      <w:numFmt w:val="bullet"/>
      <w:lvlText w:val="•"/>
      <w:lvlJc w:val="left"/>
      <w:pPr>
        <w:ind w:left="7368" w:hanging="360"/>
      </w:pPr>
      <w:rPr>
        <w:rFonts w:hint="default"/>
      </w:rPr>
    </w:lvl>
  </w:abstractNum>
  <w:abstractNum w:abstractNumId="12" w15:restartNumberingAfterBreak="0">
    <w:nsid w:val="339401E0"/>
    <w:multiLevelType w:val="hybridMultilevel"/>
    <w:tmpl w:val="8646A62C"/>
    <w:lvl w:ilvl="0" w:tplc="88E681F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D952DC"/>
    <w:multiLevelType w:val="multilevel"/>
    <w:tmpl w:val="216A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196900"/>
    <w:multiLevelType w:val="multilevel"/>
    <w:tmpl w:val="3828B7B4"/>
    <w:lvl w:ilvl="0">
      <w:start w:val="9"/>
      <w:numFmt w:val="decimal"/>
      <w:lvlText w:val="%1"/>
      <w:lvlJc w:val="left"/>
      <w:pPr>
        <w:ind w:left="472" w:hanging="372"/>
      </w:pPr>
      <w:rPr>
        <w:rFonts w:hint="default"/>
      </w:rPr>
    </w:lvl>
    <w:lvl w:ilvl="1">
      <w:start w:val="1"/>
      <w:numFmt w:val="decimal"/>
      <w:lvlText w:val="%1.%2"/>
      <w:lvlJc w:val="left"/>
      <w:pPr>
        <w:ind w:left="472" w:hanging="372"/>
      </w:pPr>
      <w:rPr>
        <w:rFonts w:ascii="Arial" w:eastAsia="Arial" w:hAnsi="Arial" w:cs="Arial" w:hint="default"/>
        <w:color w:val="1F487C"/>
        <w:w w:val="100"/>
        <w:sz w:val="22"/>
        <w:szCs w:val="22"/>
      </w:rPr>
    </w:lvl>
    <w:lvl w:ilvl="2">
      <w:numFmt w:val="bullet"/>
      <w:lvlText w:val="•"/>
      <w:lvlJc w:val="left"/>
      <w:pPr>
        <w:ind w:left="2231" w:hanging="372"/>
      </w:pPr>
      <w:rPr>
        <w:rFonts w:hint="default"/>
      </w:rPr>
    </w:lvl>
    <w:lvl w:ilvl="3">
      <w:numFmt w:val="bullet"/>
      <w:lvlText w:val="•"/>
      <w:lvlJc w:val="left"/>
      <w:pPr>
        <w:ind w:left="3107" w:hanging="372"/>
      </w:pPr>
      <w:rPr>
        <w:rFonts w:hint="default"/>
      </w:rPr>
    </w:lvl>
    <w:lvl w:ilvl="4">
      <w:numFmt w:val="bullet"/>
      <w:lvlText w:val="•"/>
      <w:lvlJc w:val="left"/>
      <w:pPr>
        <w:ind w:left="3983" w:hanging="372"/>
      </w:pPr>
      <w:rPr>
        <w:rFonts w:hint="default"/>
      </w:rPr>
    </w:lvl>
    <w:lvl w:ilvl="5">
      <w:numFmt w:val="bullet"/>
      <w:lvlText w:val="•"/>
      <w:lvlJc w:val="left"/>
      <w:pPr>
        <w:ind w:left="4859" w:hanging="372"/>
      </w:pPr>
      <w:rPr>
        <w:rFonts w:hint="default"/>
      </w:rPr>
    </w:lvl>
    <w:lvl w:ilvl="6">
      <w:numFmt w:val="bullet"/>
      <w:lvlText w:val="•"/>
      <w:lvlJc w:val="left"/>
      <w:pPr>
        <w:ind w:left="5735" w:hanging="372"/>
      </w:pPr>
      <w:rPr>
        <w:rFonts w:hint="default"/>
      </w:rPr>
    </w:lvl>
    <w:lvl w:ilvl="7">
      <w:numFmt w:val="bullet"/>
      <w:lvlText w:val="•"/>
      <w:lvlJc w:val="left"/>
      <w:pPr>
        <w:ind w:left="6611" w:hanging="372"/>
      </w:pPr>
      <w:rPr>
        <w:rFonts w:hint="default"/>
      </w:rPr>
    </w:lvl>
    <w:lvl w:ilvl="8">
      <w:numFmt w:val="bullet"/>
      <w:lvlText w:val="•"/>
      <w:lvlJc w:val="left"/>
      <w:pPr>
        <w:ind w:left="7487" w:hanging="372"/>
      </w:pPr>
      <w:rPr>
        <w:rFonts w:hint="default"/>
      </w:rPr>
    </w:lvl>
  </w:abstractNum>
  <w:abstractNum w:abstractNumId="15" w15:restartNumberingAfterBreak="0">
    <w:nsid w:val="38AC6D40"/>
    <w:multiLevelType w:val="hybridMultilevel"/>
    <w:tmpl w:val="10944A42"/>
    <w:lvl w:ilvl="0" w:tplc="08090015">
      <w:start w:val="1"/>
      <w:numFmt w:val="upp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15:restartNumberingAfterBreak="0">
    <w:nsid w:val="394C5C4F"/>
    <w:multiLevelType w:val="hybridMultilevel"/>
    <w:tmpl w:val="086206D6"/>
    <w:lvl w:ilvl="0" w:tplc="5A0A9D2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7" w15:restartNumberingAfterBreak="0">
    <w:nsid w:val="3C7640F7"/>
    <w:multiLevelType w:val="multilevel"/>
    <w:tmpl w:val="02A82438"/>
    <w:lvl w:ilvl="0">
      <w:start w:val="12"/>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cs="Arial" w:hint="default"/>
        <w:color w:val="1F487C"/>
        <w:spacing w:val="-1"/>
        <w:w w:val="100"/>
        <w:sz w:val="22"/>
        <w:szCs w:val="22"/>
      </w:rPr>
    </w:lvl>
    <w:lvl w:ilvl="2">
      <w:numFmt w:val="bullet"/>
      <w:lvlText w:val=""/>
      <w:lvlJc w:val="left"/>
      <w:pPr>
        <w:ind w:left="828" w:hanging="504"/>
      </w:pPr>
      <w:rPr>
        <w:rFonts w:ascii="Symbol" w:eastAsia="Symbol" w:hAnsi="Symbol" w:cs="Symbol" w:hint="default"/>
        <w:color w:val="365F91"/>
        <w:w w:val="100"/>
        <w:sz w:val="22"/>
        <w:szCs w:val="22"/>
      </w:rPr>
    </w:lvl>
    <w:lvl w:ilvl="3">
      <w:numFmt w:val="bullet"/>
      <w:lvlText w:val=""/>
      <w:lvlJc w:val="left"/>
      <w:pPr>
        <w:ind w:left="828" w:hanging="281"/>
      </w:pPr>
      <w:rPr>
        <w:rFonts w:ascii="Symbol" w:eastAsia="Symbol" w:hAnsi="Symbol" w:cs="Symbol" w:hint="default"/>
        <w:color w:val="365F91"/>
        <w:w w:val="100"/>
        <w:sz w:val="22"/>
        <w:szCs w:val="22"/>
      </w:rPr>
    </w:lvl>
    <w:lvl w:ilvl="4">
      <w:numFmt w:val="bullet"/>
      <w:lvlText w:val="•"/>
      <w:lvlJc w:val="left"/>
      <w:pPr>
        <w:ind w:left="4187" w:hanging="281"/>
      </w:pPr>
      <w:rPr>
        <w:rFonts w:hint="default"/>
      </w:rPr>
    </w:lvl>
    <w:lvl w:ilvl="5">
      <w:numFmt w:val="bullet"/>
      <w:lvlText w:val="•"/>
      <w:lvlJc w:val="left"/>
      <w:pPr>
        <w:ind w:left="5029" w:hanging="281"/>
      </w:pPr>
      <w:rPr>
        <w:rFonts w:hint="default"/>
      </w:rPr>
    </w:lvl>
    <w:lvl w:ilvl="6">
      <w:numFmt w:val="bullet"/>
      <w:lvlText w:val="•"/>
      <w:lvlJc w:val="left"/>
      <w:pPr>
        <w:ind w:left="5871" w:hanging="281"/>
      </w:pPr>
      <w:rPr>
        <w:rFonts w:hint="default"/>
      </w:rPr>
    </w:lvl>
    <w:lvl w:ilvl="7">
      <w:numFmt w:val="bullet"/>
      <w:lvlText w:val="•"/>
      <w:lvlJc w:val="left"/>
      <w:pPr>
        <w:ind w:left="6713" w:hanging="281"/>
      </w:pPr>
      <w:rPr>
        <w:rFonts w:hint="default"/>
      </w:rPr>
    </w:lvl>
    <w:lvl w:ilvl="8">
      <w:numFmt w:val="bullet"/>
      <w:lvlText w:val="•"/>
      <w:lvlJc w:val="left"/>
      <w:pPr>
        <w:ind w:left="7555" w:hanging="281"/>
      </w:pPr>
      <w:rPr>
        <w:rFonts w:hint="default"/>
      </w:rPr>
    </w:lvl>
  </w:abstractNum>
  <w:abstractNum w:abstractNumId="18" w15:restartNumberingAfterBreak="0">
    <w:nsid w:val="3E8A7D39"/>
    <w:multiLevelType w:val="multilevel"/>
    <w:tmpl w:val="D13EE980"/>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cs="Arial" w:hint="default"/>
        <w:color w:val="1F487C"/>
        <w:spacing w:val="-1"/>
        <w:w w:val="100"/>
        <w:sz w:val="22"/>
        <w:szCs w:val="22"/>
      </w:rPr>
    </w:lvl>
    <w:lvl w:ilvl="2">
      <w:numFmt w:val="bullet"/>
      <w:lvlText w:val="•"/>
      <w:lvlJc w:val="left"/>
      <w:pPr>
        <w:ind w:left="2503" w:hanging="720"/>
      </w:pPr>
      <w:rPr>
        <w:rFonts w:hint="default"/>
      </w:rPr>
    </w:lvl>
    <w:lvl w:ilvl="3">
      <w:numFmt w:val="bullet"/>
      <w:lvlText w:val="•"/>
      <w:lvlJc w:val="left"/>
      <w:pPr>
        <w:ind w:left="3345" w:hanging="720"/>
      </w:pPr>
      <w:rPr>
        <w:rFonts w:hint="default"/>
      </w:rPr>
    </w:lvl>
    <w:lvl w:ilvl="4">
      <w:numFmt w:val="bullet"/>
      <w:lvlText w:val="•"/>
      <w:lvlJc w:val="left"/>
      <w:pPr>
        <w:ind w:left="4187" w:hanging="720"/>
      </w:pPr>
      <w:rPr>
        <w:rFonts w:hint="default"/>
      </w:rPr>
    </w:lvl>
    <w:lvl w:ilvl="5">
      <w:numFmt w:val="bullet"/>
      <w:lvlText w:val="•"/>
      <w:lvlJc w:val="left"/>
      <w:pPr>
        <w:ind w:left="5029" w:hanging="720"/>
      </w:pPr>
      <w:rPr>
        <w:rFonts w:hint="default"/>
      </w:rPr>
    </w:lvl>
    <w:lvl w:ilvl="6">
      <w:numFmt w:val="bullet"/>
      <w:lvlText w:val="•"/>
      <w:lvlJc w:val="left"/>
      <w:pPr>
        <w:ind w:left="5871" w:hanging="720"/>
      </w:pPr>
      <w:rPr>
        <w:rFonts w:hint="default"/>
      </w:rPr>
    </w:lvl>
    <w:lvl w:ilvl="7">
      <w:numFmt w:val="bullet"/>
      <w:lvlText w:val="•"/>
      <w:lvlJc w:val="left"/>
      <w:pPr>
        <w:ind w:left="6713" w:hanging="720"/>
      </w:pPr>
      <w:rPr>
        <w:rFonts w:hint="default"/>
      </w:rPr>
    </w:lvl>
    <w:lvl w:ilvl="8">
      <w:numFmt w:val="bullet"/>
      <w:lvlText w:val="•"/>
      <w:lvlJc w:val="left"/>
      <w:pPr>
        <w:ind w:left="7555" w:hanging="720"/>
      </w:pPr>
      <w:rPr>
        <w:rFonts w:hint="default"/>
      </w:rPr>
    </w:lvl>
  </w:abstractNum>
  <w:abstractNum w:abstractNumId="19" w15:restartNumberingAfterBreak="0">
    <w:nsid w:val="3EE10684"/>
    <w:multiLevelType w:val="hybridMultilevel"/>
    <w:tmpl w:val="35182766"/>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20" w15:restartNumberingAfterBreak="0">
    <w:nsid w:val="41C32875"/>
    <w:multiLevelType w:val="multilevel"/>
    <w:tmpl w:val="96F478A0"/>
    <w:lvl w:ilvl="0">
      <w:start w:val="4"/>
      <w:numFmt w:val="decimal"/>
      <w:lvlText w:val="%1"/>
      <w:lvlJc w:val="left"/>
      <w:pPr>
        <w:ind w:left="100" w:hanging="370"/>
      </w:pPr>
      <w:rPr>
        <w:rFonts w:hint="default"/>
      </w:rPr>
    </w:lvl>
    <w:lvl w:ilvl="1">
      <w:start w:val="2"/>
      <w:numFmt w:val="decimal"/>
      <w:lvlText w:val="%1.%2"/>
      <w:lvlJc w:val="left"/>
      <w:pPr>
        <w:ind w:left="100" w:hanging="370"/>
      </w:pPr>
      <w:rPr>
        <w:rFonts w:ascii="Arial" w:eastAsia="Arial" w:hAnsi="Arial" w:cs="Arial" w:hint="default"/>
        <w:color w:val="1F487C"/>
        <w:w w:val="100"/>
        <w:sz w:val="22"/>
        <w:szCs w:val="22"/>
      </w:rPr>
    </w:lvl>
    <w:lvl w:ilvl="2">
      <w:start w:val="1"/>
      <w:numFmt w:val="decimal"/>
      <w:lvlText w:val="%1.%2.%3"/>
      <w:lvlJc w:val="left"/>
      <w:pPr>
        <w:ind w:left="652" w:hanging="552"/>
      </w:pPr>
      <w:rPr>
        <w:rFonts w:ascii="Arial" w:eastAsia="Arial" w:hAnsi="Arial" w:cs="Arial" w:hint="default"/>
        <w:i/>
        <w:color w:val="1F487C"/>
        <w:w w:val="100"/>
        <w:sz w:val="22"/>
        <w:szCs w:val="22"/>
      </w:rPr>
    </w:lvl>
    <w:lvl w:ilvl="3">
      <w:numFmt w:val="bullet"/>
      <w:lvlText w:val="•"/>
      <w:lvlJc w:val="left"/>
      <w:pPr>
        <w:ind w:left="2566" w:hanging="552"/>
      </w:pPr>
      <w:rPr>
        <w:rFonts w:hint="default"/>
      </w:rPr>
    </w:lvl>
    <w:lvl w:ilvl="4">
      <w:numFmt w:val="bullet"/>
      <w:lvlText w:val="•"/>
      <w:lvlJc w:val="left"/>
      <w:pPr>
        <w:ind w:left="3519" w:hanging="552"/>
      </w:pPr>
      <w:rPr>
        <w:rFonts w:hint="default"/>
      </w:rPr>
    </w:lvl>
    <w:lvl w:ilvl="5">
      <w:numFmt w:val="bullet"/>
      <w:lvlText w:val="•"/>
      <w:lvlJc w:val="left"/>
      <w:pPr>
        <w:ind w:left="4472" w:hanging="552"/>
      </w:pPr>
      <w:rPr>
        <w:rFonts w:hint="default"/>
      </w:rPr>
    </w:lvl>
    <w:lvl w:ilvl="6">
      <w:numFmt w:val="bullet"/>
      <w:lvlText w:val="•"/>
      <w:lvlJc w:val="left"/>
      <w:pPr>
        <w:ind w:left="5426" w:hanging="552"/>
      </w:pPr>
      <w:rPr>
        <w:rFonts w:hint="default"/>
      </w:rPr>
    </w:lvl>
    <w:lvl w:ilvl="7">
      <w:numFmt w:val="bullet"/>
      <w:lvlText w:val="•"/>
      <w:lvlJc w:val="left"/>
      <w:pPr>
        <w:ind w:left="6379" w:hanging="552"/>
      </w:pPr>
      <w:rPr>
        <w:rFonts w:hint="default"/>
      </w:rPr>
    </w:lvl>
    <w:lvl w:ilvl="8">
      <w:numFmt w:val="bullet"/>
      <w:lvlText w:val="•"/>
      <w:lvlJc w:val="left"/>
      <w:pPr>
        <w:ind w:left="7332" w:hanging="552"/>
      </w:pPr>
      <w:rPr>
        <w:rFonts w:hint="default"/>
      </w:rPr>
    </w:lvl>
  </w:abstractNum>
  <w:abstractNum w:abstractNumId="21" w15:restartNumberingAfterBreak="0">
    <w:nsid w:val="41D3793F"/>
    <w:multiLevelType w:val="hybridMultilevel"/>
    <w:tmpl w:val="84789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B742E9"/>
    <w:multiLevelType w:val="multilevel"/>
    <w:tmpl w:val="F9700392"/>
    <w:lvl w:ilvl="0">
      <w:start w:val="1"/>
      <w:numFmt w:val="decimal"/>
      <w:lvlText w:val="%1."/>
      <w:lvlJc w:val="left"/>
      <w:pPr>
        <w:ind w:left="460" w:hanging="360"/>
      </w:pPr>
      <w:rPr>
        <w:rFonts w:hint="default"/>
      </w:rPr>
    </w:lvl>
    <w:lvl w:ilvl="1">
      <w:start w:val="1"/>
      <w:numFmt w:val="decimal"/>
      <w:lvlText w:val="%1.%2."/>
      <w:lvlJc w:val="left"/>
      <w:pPr>
        <w:ind w:left="892" w:hanging="432"/>
      </w:pPr>
      <w:rPr>
        <w:rFonts w:hint="default"/>
        <w:color w:val="1F487C"/>
        <w:w w:val="100"/>
        <w:sz w:val="22"/>
        <w:szCs w:val="22"/>
      </w:rPr>
    </w:lvl>
    <w:lvl w:ilvl="2">
      <w:start w:val="1"/>
      <w:numFmt w:val="decimal"/>
      <w:lvlText w:val="%1.%2.%3."/>
      <w:lvlJc w:val="left"/>
      <w:pPr>
        <w:ind w:left="1324" w:hanging="504"/>
      </w:pPr>
      <w:rPr>
        <w:rFonts w:hint="default"/>
        <w:b w:val="0"/>
        <w:color w:val="1F487C"/>
        <w:w w:val="100"/>
        <w:sz w:val="22"/>
        <w:szCs w:val="22"/>
      </w:rPr>
    </w:lvl>
    <w:lvl w:ilvl="3">
      <w:start w:val="1"/>
      <w:numFmt w:val="decimal"/>
      <w:lvlText w:val="%1.%2.%3.%4."/>
      <w:lvlJc w:val="left"/>
      <w:pPr>
        <w:ind w:left="1828" w:hanging="648"/>
      </w:pPr>
      <w:rPr>
        <w:rFonts w:hint="default"/>
      </w:rPr>
    </w:lvl>
    <w:lvl w:ilvl="4">
      <w:start w:val="1"/>
      <w:numFmt w:val="decimal"/>
      <w:lvlText w:val="%1.%2.%3.%4.%5."/>
      <w:lvlJc w:val="left"/>
      <w:pPr>
        <w:ind w:left="2332" w:hanging="792"/>
      </w:pPr>
      <w:rPr>
        <w:rFonts w:hint="default"/>
      </w:rPr>
    </w:lvl>
    <w:lvl w:ilvl="5">
      <w:start w:val="1"/>
      <w:numFmt w:val="decimal"/>
      <w:lvlText w:val="%1.%2.%3.%4.%5.%6."/>
      <w:lvlJc w:val="left"/>
      <w:pPr>
        <w:ind w:left="2836" w:hanging="936"/>
      </w:pPr>
      <w:rPr>
        <w:rFonts w:hint="default"/>
      </w:rPr>
    </w:lvl>
    <w:lvl w:ilvl="6">
      <w:start w:val="1"/>
      <w:numFmt w:val="decimal"/>
      <w:lvlText w:val="%1.%2.%3.%4.%5.%6.%7."/>
      <w:lvlJc w:val="left"/>
      <w:pPr>
        <w:ind w:left="3340" w:hanging="1080"/>
      </w:pPr>
      <w:rPr>
        <w:rFonts w:hint="default"/>
      </w:rPr>
    </w:lvl>
    <w:lvl w:ilvl="7">
      <w:start w:val="1"/>
      <w:numFmt w:val="decimal"/>
      <w:lvlText w:val="%1.%2.%3.%4.%5.%6.%7.%8."/>
      <w:lvlJc w:val="left"/>
      <w:pPr>
        <w:ind w:left="3844" w:hanging="1224"/>
      </w:pPr>
      <w:rPr>
        <w:rFonts w:hint="default"/>
      </w:rPr>
    </w:lvl>
    <w:lvl w:ilvl="8">
      <w:start w:val="1"/>
      <w:numFmt w:val="decimal"/>
      <w:lvlText w:val="%1.%2.%3.%4.%5.%6.%7.%8.%9."/>
      <w:lvlJc w:val="left"/>
      <w:pPr>
        <w:ind w:left="4420" w:hanging="1440"/>
      </w:pPr>
      <w:rPr>
        <w:rFonts w:hint="default"/>
      </w:rPr>
    </w:lvl>
  </w:abstractNum>
  <w:abstractNum w:abstractNumId="23" w15:restartNumberingAfterBreak="0">
    <w:nsid w:val="4AF563EF"/>
    <w:multiLevelType w:val="hybridMultilevel"/>
    <w:tmpl w:val="1BF61DD6"/>
    <w:lvl w:ilvl="0" w:tplc="08090015">
      <w:start w:val="1"/>
      <w:numFmt w:val="upp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4" w15:restartNumberingAfterBreak="0">
    <w:nsid w:val="57650D71"/>
    <w:multiLevelType w:val="hybridMultilevel"/>
    <w:tmpl w:val="CE56392C"/>
    <w:lvl w:ilvl="0" w:tplc="9CF4E5D2">
      <w:numFmt w:val="bullet"/>
      <w:lvlText w:val="-"/>
      <w:lvlJc w:val="left"/>
      <w:pPr>
        <w:ind w:left="820" w:hanging="360"/>
      </w:pPr>
      <w:rPr>
        <w:rFonts w:ascii="Arial" w:eastAsia="Arial" w:hAnsi="Arial" w:cs="Arial" w:hint="default"/>
        <w:w w:val="100"/>
        <w:sz w:val="22"/>
        <w:szCs w:val="22"/>
      </w:rPr>
    </w:lvl>
    <w:lvl w:ilvl="1" w:tplc="52BC77BC">
      <w:numFmt w:val="bullet"/>
      <w:lvlText w:val="•"/>
      <w:lvlJc w:val="left"/>
      <w:pPr>
        <w:ind w:left="1661" w:hanging="360"/>
      </w:pPr>
      <w:rPr>
        <w:rFonts w:hint="default"/>
      </w:rPr>
    </w:lvl>
    <w:lvl w:ilvl="2" w:tplc="02F0EB90">
      <w:numFmt w:val="bullet"/>
      <w:lvlText w:val="•"/>
      <w:lvlJc w:val="left"/>
      <w:pPr>
        <w:ind w:left="2503" w:hanging="360"/>
      </w:pPr>
      <w:rPr>
        <w:rFonts w:hint="default"/>
      </w:rPr>
    </w:lvl>
    <w:lvl w:ilvl="3" w:tplc="B9ACA484">
      <w:numFmt w:val="bullet"/>
      <w:lvlText w:val="•"/>
      <w:lvlJc w:val="left"/>
      <w:pPr>
        <w:ind w:left="3345" w:hanging="360"/>
      </w:pPr>
      <w:rPr>
        <w:rFonts w:hint="default"/>
      </w:rPr>
    </w:lvl>
    <w:lvl w:ilvl="4" w:tplc="00D434F2">
      <w:numFmt w:val="bullet"/>
      <w:lvlText w:val="•"/>
      <w:lvlJc w:val="left"/>
      <w:pPr>
        <w:ind w:left="4187" w:hanging="360"/>
      </w:pPr>
      <w:rPr>
        <w:rFonts w:hint="default"/>
      </w:rPr>
    </w:lvl>
    <w:lvl w:ilvl="5" w:tplc="9B56AE9E">
      <w:numFmt w:val="bullet"/>
      <w:lvlText w:val="•"/>
      <w:lvlJc w:val="left"/>
      <w:pPr>
        <w:ind w:left="5029" w:hanging="360"/>
      </w:pPr>
      <w:rPr>
        <w:rFonts w:hint="default"/>
      </w:rPr>
    </w:lvl>
    <w:lvl w:ilvl="6" w:tplc="5BD4721A">
      <w:numFmt w:val="bullet"/>
      <w:lvlText w:val="•"/>
      <w:lvlJc w:val="left"/>
      <w:pPr>
        <w:ind w:left="5871" w:hanging="360"/>
      </w:pPr>
      <w:rPr>
        <w:rFonts w:hint="default"/>
      </w:rPr>
    </w:lvl>
    <w:lvl w:ilvl="7" w:tplc="CE4CE122">
      <w:numFmt w:val="bullet"/>
      <w:lvlText w:val="•"/>
      <w:lvlJc w:val="left"/>
      <w:pPr>
        <w:ind w:left="6713" w:hanging="360"/>
      </w:pPr>
      <w:rPr>
        <w:rFonts w:hint="default"/>
      </w:rPr>
    </w:lvl>
    <w:lvl w:ilvl="8" w:tplc="8F3EB886">
      <w:numFmt w:val="bullet"/>
      <w:lvlText w:val="•"/>
      <w:lvlJc w:val="left"/>
      <w:pPr>
        <w:ind w:left="7555" w:hanging="360"/>
      </w:pPr>
      <w:rPr>
        <w:rFonts w:hint="default"/>
      </w:rPr>
    </w:lvl>
  </w:abstractNum>
  <w:abstractNum w:abstractNumId="25" w15:restartNumberingAfterBreak="0">
    <w:nsid w:val="58877036"/>
    <w:multiLevelType w:val="hybridMultilevel"/>
    <w:tmpl w:val="524CA4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25750F"/>
    <w:multiLevelType w:val="hybridMultilevel"/>
    <w:tmpl w:val="2FB8208A"/>
    <w:lvl w:ilvl="0" w:tplc="5748F6FC">
      <w:start w:val="1"/>
      <w:numFmt w:val="lowerLetter"/>
      <w:lvlText w:val="%1)"/>
      <w:lvlJc w:val="left"/>
      <w:pPr>
        <w:ind w:left="720" w:hanging="360"/>
      </w:pPr>
      <w:rPr>
        <w:color w:val="1F487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8756D8"/>
    <w:multiLevelType w:val="multilevel"/>
    <w:tmpl w:val="F9700392"/>
    <w:lvl w:ilvl="0">
      <w:start w:val="1"/>
      <w:numFmt w:val="decimal"/>
      <w:lvlText w:val="%1."/>
      <w:lvlJc w:val="left"/>
      <w:pPr>
        <w:ind w:left="460" w:hanging="360"/>
      </w:pPr>
      <w:rPr>
        <w:rFonts w:hint="default"/>
      </w:rPr>
    </w:lvl>
    <w:lvl w:ilvl="1">
      <w:start w:val="1"/>
      <w:numFmt w:val="decimal"/>
      <w:lvlText w:val="%1.%2."/>
      <w:lvlJc w:val="left"/>
      <w:pPr>
        <w:ind w:left="892" w:hanging="432"/>
      </w:pPr>
      <w:rPr>
        <w:rFonts w:hint="default"/>
        <w:color w:val="1F487C"/>
        <w:w w:val="100"/>
        <w:sz w:val="22"/>
        <w:szCs w:val="22"/>
      </w:rPr>
    </w:lvl>
    <w:lvl w:ilvl="2">
      <w:start w:val="1"/>
      <w:numFmt w:val="decimal"/>
      <w:lvlText w:val="%1.%2.%3."/>
      <w:lvlJc w:val="left"/>
      <w:pPr>
        <w:ind w:left="1324" w:hanging="504"/>
      </w:pPr>
      <w:rPr>
        <w:rFonts w:hint="default"/>
        <w:b w:val="0"/>
        <w:color w:val="1F487C"/>
        <w:w w:val="100"/>
        <w:sz w:val="22"/>
        <w:szCs w:val="22"/>
      </w:rPr>
    </w:lvl>
    <w:lvl w:ilvl="3">
      <w:start w:val="1"/>
      <w:numFmt w:val="decimal"/>
      <w:lvlText w:val="%1.%2.%3.%4."/>
      <w:lvlJc w:val="left"/>
      <w:pPr>
        <w:ind w:left="1828" w:hanging="648"/>
      </w:pPr>
      <w:rPr>
        <w:rFonts w:hint="default"/>
      </w:rPr>
    </w:lvl>
    <w:lvl w:ilvl="4">
      <w:start w:val="1"/>
      <w:numFmt w:val="decimal"/>
      <w:lvlText w:val="%1.%2.%3.%4.%5."/>
      <w:lvlJc w:val="left"/>
      <w:pPr>
        <w:ind w:left="2332" w:hanging="792"/>
      </w:pPr>
      <w:rPr>
        <w:rFonts w:hint="default"/>
      </w:rPr>
    </w:lvl>
    <w:lvl w:ilvl="5">
      <w:start w:val="1"/>
      <w:numFmt w:val="decimal"/>
      <w:lvlText w:val="%1.%2.%3.%4.%5.%6."/>
      <w:lvlJc w:val="left"/>
      <w:pPr>
        <w:ind w:left="2836" w:hanging="936"/>
      </w:pPr>
      <w:rPr>
        <w:rFonts w:hint="default"/>
      </w:rPr>
    </w:lvl>
    <w:lvl w:ilvl="6">
      <w:start w:val="1"/>
      <w:numFmt w:val="decimal"/>
      <w:lvlText w:val="%1.%2.%3.%4.%5.%6.%7."/>
      <w:lvlJc w:val="left"/>
      <w:pPr>
        <w:ind w:left="3340" w:hanging="1080"/>
      </w:pPr>
      <w:rPr>
        <w:rFonts w:hint="default"/>
      </w:rPr>
    </w:lvl>
    <w:lvl w:ilvl="7">
      <w:start w:val="1"/>
      <w:numFmt w:val="decimal"/>
      <w:lvlText w:val="%1.%2.%3.%4.%5.%6.%7.%8."/>
      <w:lvlJc w:val="left"/>
      <w:pPr>
        <w:ind w:left="3844" w:hanging="1224"/>
      </w:pPr>
      <w:rPr>
        <w:rFonts w:hint="default"/>
      </w:rPr>
    </w:lvl>
    <w:lvl w:ilvl="8">
      <w:start w:val="1"/>
      <w:numFmt w:val="decimal"/>
      <w:lvlText w:val="%1.%2.%3.%4.%5.%6.%7.%8.%9."/>
      <w:lvlJc w:val="left"/>
      <w:pPr>
        <w:ind w:left="4420" w:hanging="1440"/>
      </w:pPr>
      <w:rPr>
        <w:rFonts w:hint="default"/>
      </w:rPr>
    </w:lvl>
  </w:abstractNum>
  <w:abstractNum w:abstractNumId="28" w15:restartNumberingAfterBreak="0">
    <w:nsid w:val="64433452"/>
    <w:multiLevelType w:val="hybridMultilevel"/>
    <w:tmpl w:val="F26E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B7086B"/>
    <w:multiLevelType w:val="hybridMultilevel"/>
    <w:tmpl w:val="50F8B66E"/>
    <w:lvl w:ilvl="0" w:tplc="2A986F86">
      <w:numFmt w:val="bullet"/>
      <w:lvlText w:val=""/>
      <w:lvlJc w:val="left"/>
      <w:pPr>
        <w:ind w:left="880" w:hanging="360"/>
      </w:pPr>
      <w:rPr>
        <w:rFonts w:ascii="Symbol" w:eastAsia="Symbol" w:hAnsi="Symbol" w:cs="Symbol" w:hint="default"/>
        <w:w w:val="100"/>
        <w:sz w:val="22"/>
        <w:szCs w:val="22"/>
      </w:rPr>
    </w:lvl>
    <w:lvl w:ilvl="1" w:tplc="EFD6AABE">
      <w:numFmt w:val="bullet"/>
      <w:lvlText w:val="•"/>
      <w:lvlJc w:val="left"/>
      <w:pPr>
        <w:ind w:left="1715" w:hanging="360"/>
      </w:pPr>
      <w:rPr>
        <w:rFonts w:hint="default"/>
      </w:rPr>
    </w:lvl>
    <w:lvl w:ilvl="2" w:tplc="DA5EE8B8">
      <w:numFmt w:val="bullet"/>
      <w:lvlText w:val="•"/>
      <w:lvlJc w:val="left"/>
      <w:pPr>
        <w:ind w:left="2551" w:hanging="360"/>
      </w:pPr>
      <w:rPr>
        <w:rFonts w:hint="default"/>
      </w:rPr>
    </w:lvl>
    <w:lvl w:ilvl="3" w:tplc="642A3560">
      <w:numFmt w:val="bullet"/>
      <w:lvlText w:val="•"/>
      <w:lvlJc w:val="left"/>
      <w:pPr>
        <w:ind w:left="3387" w:hanging="360"/>
      </w:pPr>
      <w:rPr>
        <w:rFonts w:hint="default"/>
      </w:rPr>
    </w:lvl>
    <w:lvl w:ilvl="4" w:tplc="0BECE012">
      <w:numFmt w:val="bullet"/>
      <w:lvlText w:val="•"/>
      <w:lvlJc w:val="left"/>
      <w:pPr>
        <w:ind w:left="4223" w:hanging="360"/>
      </w:pPr>
      <w:rPr>
        <w:rFonts w:hint="default"/>
      </w:rPr>
    </w:lvl>
    <w:lvl w:ilvl="5" w:tplc="A5A40D9C">
      <w:numFmt w:val="bullet"/>
      <w:lvlText w:val="•"/>
      <w:lvlJc w:val="left"/>
      <w:pPr>
        <w:ind w:left="5059" w:hanging="360"/>
      </w:pPr>
      <w:rPr>
        <w:rFonts w:hint="default"/>
      </w:rPr>
    </w:lvl>
    <w:lvl w:ilvl="6" w:tplc="92D211B6">
      <w:numFmt w:val="bullet"/>
      <w:lvlText w:val="•"/>
      <w:lvlJc w:val="left"/>
      <w:pPr>
        <w:ind w:left="5895" w:hanging="360"/>
      </w:pPr>
      <w:rPr>
        <w:rFonts w:hint="default"/>
      </w:rPr>
    </w:lvl>
    <w:lvl w:ilvl="7" w:tplc="BB60E030">
      <w:numFmt w:val="bullet"/>
      <w:lvlText w:val="•"/>
      <w:lvlJc w:val="left"/>
      <w:pPr>
        <w:ind w:left="6731" w:hanging="360"/>
      </w:pPr>
      <w:rPr>
        <w:rFonts w:hint="default"/>
      </w:rPr>
    </w:lvl>
    <w:lvl w:ilvl="8" w:tplc="2A88E6C2">
      <w:numFmt w:val="bullet"/>
      <w:lvlText w:val="•"/>
      <w:lvlJc w:val="left"/>
      <w:pPr>
        <w:ind w:left="7567" w:hanging="360"/>
      </w:pPr>
      <w:rPr>
        <w:rFonts w:hint="default"/>
      </w:rPr>
    </w:lvl>
  </w:abstractNum>
  <w:abstractNum w:abstractNumId="30" w15:restartNumberingAfterBreak="0">
    <w:nsid w:val="65BA671D"/>
    <w:multiLevelType w:val="hybridMultilevel"/>
    <w:tmpl w:val="2D86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011074"/>
    <w:multiLevelType w:val="multilevel"/>
    <w:tmpl w:val="744AC9C4"/>
    <w:lvl w:ilvl="0">
      <w:start w:val="6"/>
      <w:numFmt w:val="decimal"/>
      <w:lvlText w:val="%1"/>
      <w:lvlJc w:val="left"/>
      <w:pPr>
        <w:ind w:left="472" w:hanging="372"/>
      </w:pPr>
      <w:rPr>
        <w:rFonts w:hint="default"/>
      </w:rPr>
    </w:lvl>
    <w:lvl w:ilvl="1">
      <w:start w:val="1"/>
      <w:numFmt w:val="decimal"/>
      <w:lvlText w:val="%1.%2"/>
      <w:lvlJc w:val="left"/>
      <w:pPr>
        <w:ind w:left="472" w:hanging="372"/>
      </w:pPr>
      <w:rPr>
        <w:rFonts w:ascii="Arial" w:eastAsia="Arial" w:hAnsi="Arial" w:cs="Arial" w:hint="default"/>
        <w:color w:val="1F487C"/>
        <w:w w:val="100"/>
        <w:sz w:val="22"/>
        <w:szCs w:val="22"/>
      </w:rPr>
    </w:lvl>
    <w:lvl w:ilvl="2">
      <w:numFmt w:val="bullet"/>
      <w:lvlText w:val=""/>
      <w:lvlJc w:val="left"/>
      <w:pPr>
        <w:ind w:left="820" w:hanging="360"/>
      </w:pPr>
      <w:rPr>
        <w:rFonts w:ascii="Symbol" w:eastAsia="Symbol" w:hAnsi="Symbol" w:cs="Symbol" w:hint="default"/>
        <w:w w:val="100"/>
        <w:sz w:val="22"/>
        <w:szCs w:val="22"/>
      </w:rPr>
    </w:lvl>
    <w:lvl w:ilvl="3">
      <w:numFmt w:val="bullet"/>
      <w:lvlText w:val="•"/>
      <w:lvlJc w:val="left"/>
      <w:pPr>
        <w:ind w:left="2690" w:hanging="360"/>
      </w:pPr>
      <w:rPr>
        <w:rFonts w:hint="default"/>
      </w:rPr>
    </w:lvl>
    <w:lvl w:ilvl="4">
      <w:numFmt w:val="bullet"/>
      <w:lvlText w:val="•"/>
      <w:lvlJc w:val="left"/>
      <w:pPr>
        <w:ind w:left="3626" w:hanging="360"/>
      </w:pPr>
      <w:rPr>
        <w:rFonts w:hint="default"/>
      </w:rPr>
    </w:lvl>
    <w:lvl w:ilvl="5">
      <w:numFmt w:val="bullet"/>
      <w:lvlText w:val="•"/>
      <w:lvlJc w:val="left"/>
      <w:pPr>
        <w:ind w:left="4561" w:hanging="360"/>
      </w:pPr>
      <w:rPr>
        <w:rFonts w:hint="default"/>
      </w:rPr>
    </w:lvl>
    <w:lvl w:ilvl="6">
      <w:numFmt w:val="bullet"/>
      <w:lvlText w:val="•"/>
      <w:lvlJc w:val="left"/>
      <w:pPr>
        <w:ind w:left="5497" w:hanging="360"/>
      </w:pPr>
      <w:rPr>
        <w:rFonts w:hint="default"/>
      </w:rPr>
    </w:lvl>
    <w:lvl w:ilvl="7">
      <w:numFmt w:val="bullet"/>
      <w:lvlText w:val="•"/>
      <w:lvlJc w:val="left"/>
      <w:pPr>
        <w:ind w:left="6432" w:hanging="360"/>
      </w:pPr>
      <w:rPr>
        <w:rFonts w:hint="default"/>
      </w:rPr>
    </w:lvl>
    <w:lvl w:ilvl="8">
      <w:numFmt w:val="bullet"/>
      <w:lvlText w:val="•"/>
      <w:lvlJc w:val="left"/>
      <w:pPr>
        <w:ind w:left="7368" w:hanging="360"/>
      </w:pPr>
      <w:rPr>
        <w:rFonts w:hint="default"/>
      </w:rPr>
    </w:lvl>
  </w:abstractNum>
  <w:abstractNum w:abstractNumId="32" w15:restartNumberingAfterBreak="0">
    <w:nsid w:val="661F0BD0"/>
    <w:multiLevelType w:val="hybridMultilevel"/>
    <w:tmpl w:val="A002FEE2"/>
    <w:lvl w:ilvl="0" w:tplc="7AE4F0FE">
      <w:start w:val="1"/>
      <w:numFmt w:val="bullet"/>
      <w:lvlText w:val=""/>
      <w:lvlJc w:val="left"/>
      <w:pPr>
        <w:ind w:left="360" w:hanging="360"/>
      </w:pPr>
      <w:rPr>
        <w:rFonts w:ascii="Wingdings" w:hAnsi="Wingdings" w:hint="default"/>
        <w:color w:val="C0000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8125B2"/>
    <w:multiLevelType w:val="hybridMultilevel"/>
    <w:tmpl w:val="8B84DDBE"/>
    <w:lvl w:ilvl="0" w:tplc="4808CFDA">
      <w:numFmt w:val="bullet"/>
      <w:lvlText w:val=""/>
      <w:lvlJc w:val="left"/>
      <w:pPr>
        <w:ind w:left="460" w:hanging="360"/>
      </w:pPr>
      <w:rPr>
        <w:rFonts w:ascii="Symbol" w:eastAsia="Arial" w:hAnsi="Symbol" w:cs="Arial" w:hint="default"/>
        <w:color w:val="4D4F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1313CF"/>
    <w:multiLevelType w:val="hybridMultilevel"/>
    <w:tmpl w:val="5A3641E2"/>
    <w:lvl w:ilvl="0" w:tplc="08090015">
      <w:start w:val="1"/>
      <w:numFmt w:val="upp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5" w15:restartNumberingAfterBreak="0">
    <w:nsid w:val="73084599"/>
    <w:multiLevelType w:val="multilevel"/>
    <w:tmpl w:val="546E6942"/>
    <w:lvl w:ilvl="0">
      <w:start w:val="8"/>
      <w:numFmt w:val="decimal"/>
      <w:lvlText w:val="%1"/>
      <w:lvlJc w:val="left"/>
      <w:pPr>
        <w:ind w:left="472" w:hanging="372"/>
      </w:pPr>
      <w:rPr>
        <w:rFonts w:hint="default"/>
      </w:rPr>
    </w:lvl>
    <w:lvl w:ilvl="1">
      <w:start w:val="1"/>
      <w:numFmt w:val="decimal"/>
      <w:lvlText w:val="%1.%2"/>
      <w:lvlJc w:val="left"/>
      <w:pPr>
        <w:ind w:left="472" w:hanging="372"/>
      </w:pPr>
      <w:rPr>
        <w:rFonts w:ascii="Arial" w:eastAsia="Arial" w:hAnsi="Arial" w:cs="Arial" w:hint="default"/>
        <w:color w:val="1F487C"/>
        <w:w w:val="100"/>
        <w:sz w:val="22"/>
        <w:szCs w:val="22"/>
      </w:rPr>
    </w:lvl>
    <w:lvl w:ilvl="2">
      <w:numFmt w:val="bullet"/>
      <w:lvlText w:val="•"/>
      <w:lvlJc w:val="left"/>
      <w:pPr>
        <w:ind w:left="2231" w:hanging="372"/>
      </w:pPr>
      <w:rPr>
        <w:rFonts w:hint="default"/>
      </w:rPr>
    </w:lvl>
    <w:lvl w:ilvl="3">
      <w:numFmt w:val="bullet"/>
      <w:lvlText w:val="•"/>
      <w:lvlJc w:val="left"/>
      <w:pPr>
        <w:ind w:left="3107" w:hanging="372"/>
      </w:pPr>
      <w:rPr>
        <w:rFonts w:hint="default"/>
      </w:rPr>
    </w:lvl>
    <w:lvl w:ilvl="4">
      <w:numFmt w:val="bullet"/>
      <w:lvlText w:val="•"/>
      <w:lvlJc w:val="left"/>
      <w:pPr>
        <w:ind w:left="3983" w:hanging="372"/>
      </w:pPr>
      <w:rPr>
        <w:rFonts w:hint="default"/>
      </w:rPr>
    </w:lvl>
    <w:lvl w:ilvl="5">
      <w:numFmt w:val="bullet"/>
      <w:lvlText w:val="•"/>
      <w:lvlJc w:val="left"/>
      <w:pPr>
        <w:ind w:left="4859" w:hanging="372"/>
      </w:pPr>
      <w:rPr>
        <w:rFonts w:hint="default"/>
      </w:rPr>
    </w:lvl>
    <w:lvl w:ilvl="6">
      <w:numFmt w:val="bullet"/>
      <w:lvlText w:val="•"/>
      <w:lvlJc w:val="left"/>
      <w:pPr>
        <w:ind w:left="5735" w:hanging="372"/>
      </w:pPr>
      <w:rPr>
        <w:rFonts w:hint="default"/>
      </w:rPr>
    </w:lvl>
    <w:lvl w:ilvl="7">
      <w:numFmt w:val="bullet"/>
      <w:lvlText w:val="•"/>
      <w:lvlJc w:val="left"/>
      <w:pPr>
        <w:ind w:left="6611" w:hanging="372"/>
      </w:pPr>
      <w:rPr>
        <w:rFonts w:hint="default"/>
      </w:rPr>
    </w:lvl>
    <w:lvl w:ilvl="8">
      <w:numFmt w:val="bullet"/>
      <w:lvlText w:val="•"/>
      <w:lvlJc w:val="left"/>
      <w:pPr>
        <w:ind w:left="7487" w:hanging="372"/>
      </w:pPr>
      <w:rPr>
        <w:rFonts w:hint="default"/>
      </w:rPr>
    </w:lvl>
  </w:abstractNum>
  <w:abstractNum w:abstractNumId="36" w15:restartNumberingAfterBreak="0">
    <w:nsid w:val="74633B52"/>
    <w:multiLevelType w:val="hybridMultilevel"/>
    <w:tmpl w:val="9AAC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78620B"/>
    <w:multiLevelType w:val="hybridMultilevel"/>
    <w:tmpl w:val="04243322"/>
    <w:lvl w:ilvl="0" w:tplc="0450D946">
      <w:numFmt w:val="bullet"/>
      <w:lvlText w:val=""/>
      <w:lvlJc w:val="left"/>
      <w:pPr>
        <w:ind w:left="1180" w:hanging="360"/>
      </w:pPr>
      <w:rPr>
        <w:rFonts w:ascii="Symbol" w:eastAsia="Symbol" w:hAnsi="Symbol" w:cs="Symbol" w:hint="default"/>
        <w:w w:val="100"/>
        <w:sz w:val="22"/>
        <w:szCs w:val="22"/>
      </w:rPr>
    </w:lvl>
    <w:lvl w:ilvl="1" w:tplc="ECAE6B08">
      <w:numFmt w:val="bullet"/>
      <w:lvlText w:val="•"/>
      <w:lvlJc w:val="left"/>
      <w:pPr>
        <w:ind w:left="1985" w:hanging="360"/>
      </w:pPr>
      <w:rPr>
        <w:rFonts w:hint="default"/>
      </w:rPr>
    </w:lvl>
    <w:lvl w:ilvl="2" w:tplc="952AFBFC">
      <w:numFmt w:val="bullet"/>
      <w:lvlText w:val="•"/>
      <w:lvlJc w:val="left"/>
      <w:pPr>
        <w:ind w:left="2791" w:hanging="360"/>
      </w:pPr>
      <w:rPr>
        <w:rFonts w:hint="default"/>
      </w:rPr>
    </w:lvl>
    <w:lvl w:ilvl="3" w:tplc="BBB24990">
      <w:numFmt w:val="bullet"/>
      <w:lvlText w:val="•"/>
      <w:lvlJc w:val="left"/>
      <w:pPr>
        <w:ind w:left="3597" w:hanging="360"/>
      </w:pPr>
      <w:rPr>
        <w:rFonts w:hint="default"/>
      </w:rPr>
    </w:lvl>
    <w:lvl w:ilvl="4" w:tplc="AE1ACA08">
      <w:numFmt w:val="bullet"/>
      <w:lvlText w:val="•"/>
      <w:lvlJc w:val="left"/>
      <w:pPr>
        <w:ind w:left="4403" w:hanging="360"/>
      </w:pPr>
      <w:rPr>
        <w:rFonts w:hint="default"/>
      </w:rPr>
    </w:lvl>
    <w:lvl w:ilvl="5" w:tplc="14FA35E6">
      <w:numFmt w:val="bullet"/>
      <w:lvlText w:val="•"/>
      <w:lvlJc w:val="left"/>
      <w:pPr>
        <w:ind w:left="5209" w:hanging="360"/>
      </w:pPr>
      <w:rPr>
        <w:rFonts w:hint="default"/>
      </w:rPr>
    </w:lvl>
    <w:lvl w:ilvl="6" w:tplc="FEF47AB6">
      <w:numFmt w:val="bullet"/>
      <w:lvlText w:val="•"/>
      <w:lvlJc w:val="left"/>
      <w:pPr>
        <w:ind w:left="6015" w:hanging="360"/>
      </w:pPr>
      <w:rPr>
        <w:rFonts w:hint="default"/>
      </w:rPr>
    </w:lvl>
    <w:lvl w:ilvl="7" w:tplc="34D8C104">
      <w:numFmt w:val="bullet"/>
      <w:lvlText w:val="•"/>
      <w:lvlJc w:val="left"/>
      <w:pPr>
        <w:ind w:left="6821" w:hanging="360"/>
      </w:pPr>
      <w:rPr>
        <w:rFonts w:hint="default"/>
      </w:rPr>
    </w:lvl>
    <w:lvl w:ilvl="8" w:tplc="64208716">
      <w:numFmt w:val="bullet"/>
      <w:lvlText w:val="•"/>
      <w:lvlJc w:val="left"/>
      <w:pPr>
        <w:ind w:left="7627" w:hanging="360"/>
      </w:pPr>
      <w:rPr>
        <w:rFonts w:hint="default"/>
      </w:rPr>
    </w:lvl>
  </w:abstractNum>
  <w:num w:numId="1">
    <w:abstractNumId w:val="24"/>
  </w:num>
  <w:num w:numId="2">
    <w:abstractNumId w:val="17"/>
  </w:num>
  <w:num w:numId="3">
    <w:abstractNumId w:val="18"/>
  </w:num>
  <w:num w:numId="4">
    <w:abstractNumId w:val="14"/>
  </w:num>
  <w:num w:numId="5">
    <w:abstractNumId w:val="35"/>
  </w:num>
  <w:num w:numId="6">
    <w:abstractNumId w:val="29"/>
  </w:num>
  <w:num w:numId="7">
    <w:abstractNumId w:val="10"/>
  </w:num>
  <w:num w:numId="8">
    <w:abstractNumId w:val="20"/>
  </w:num>
  <w:num w:numId="9">
    <w:abstractNumId w:val="31"/>
  </w:num>
  <w:num w:numId="10">
    <w:abstractNumId w:val="4"/>
  </w:num>
  <w:num w:numId="11">
    <w:abstractNumId w:val="27"/>
  </w:num>
  <w:num w:numId="12">
    <w:abstractNumId w:val="11"/>
  </w:num>
  <w:num w:numId="13">
    <w:abstractNumId w:val="37"/>
  </w:num>
  <w:num w:numId="14">
    <w:abstractNumId w:val="15"/>
  </w:num>
  <w:num w:numId="15">
    <w:abstractNumId w:val="3"/>
  </w:num>
  <w:num w:numId="16">
    <w:abstractNumId w:val="23"/>
  </w:num>
  <w:num w:numId="17">
    <w:abstractNumId w:val="1"/>
  </w:num>
  <w:num w:numId="18">
    <w:abstractNumId w:val="34"/>
  </w:num>
  <w:num w:numId="19">
    <w:abstractNumId w:val="30"/>
  </w:num>
  <w:num w:numId="20">
    <w:abstractNumId w:val="9"/>
  </w:num>
  <w:num w:numId="21">
    <w:abstractNumId w:val="21"/>
  </w:num>
  <w:num w:numId="22">
    <w:abstractNumId w:val="36"/>
  </w:num>
  <w:num w:numId="23">
    <w:abstractNumId w:val="26"/>
  </w:num>
  <w:num w:numId="24">
    <w:abstractNumId w:val="25"/>
  </w:num>
  <w:num w:numId="25">
    <w:abstractNumId w:val="2"/>
  </w:num>
  <w:num w:numId="26">
    <w:abstractNumId w:val="19"/>
  </w:num>
  <w:num w:numId="27">
    <w:abstractNumId w:val="16"/>
  </w:num>
  <w:num w:numId="28">
    <w:abstractNumId w:val="7"/>
  </w:num>
  <w:num w:numId="29">
    <w:abstractNumId w:val="8"/>
  </w:num>
  <w:num w:numId="30">
    <w:abstractNumId w:val="5"/>
  </w:num>
  <w:num w:numId="31">
    <w:abstractNumId w:val="12"/>
  </w:num>
  <w:num w:numId="32">
    <w:abstractNumId w:val="32"/>
  </w:num>
  <w:num w:numId="33">
    <w:abstractNumId w:val="28"/>
  </w:num>
  <w:num w:numId="34">
    <w:abstractNumId w:val="33"/>
  </w:num>
  <w:num w:numId="35">
    <w:abstractNumId w:val="13"/>
  </w:num>
  <w:num w:numId="36">
    <w:abstractNumId w:val="6"/>
  </w:num>
  <w:num w:numId="37">
    <w:abstractNumId w:val="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8F9"/>
    <w:rsid w:val="00005BCE"/>
    <w:rsid w:val="00011402"/>
    <w:rsid w:val="00011CCB"/>
    <w:rsid w:val="00025EA2"/>
    <w:rsid w:val="00040C12"/>
    <w:rsid w:val="00042021"/>
    <w:rsid w:val="0005386A"/>
    <w:rsid w:val="0005545A"/>
    <w:rsid w:val="000623E0"/>
    <w:rsid w:val="00063C88"/>
    <w:rsid w:val="00070773"/>
    <w:rsid w:val="00096178"/>
    <w:rsid w:val="0009749F"/>
    <w:rsid w:val="000B70EA"/>
    <w:rsid w:val="000C3DC4"/>
    <w:rsid w:val="000C3E63"/>
    <w:rsid w:val="000D784D"/>
    <w:rsid w:val="000F020A"/>
    <w:rsid w:val="000F6B97"/>
    <w:rsid w:val="001003D5"/>
    <w:rsid w:val="00115FC5"/>
    <w:rsid w:val="00125F56"/>
    <w:rsid w:val="0012619C"/>
    <w:rsid w:val="001360CC"/>
    <w:rsid w:val="00141E2A"/>
    <w:rsid w:val="00160977"/>
    <w:rsid w:val="0016749D"/>
    <w:rsid w:val="0017317D"/>
    <w:rsid w:val="00175BBC"/>
    <w:rsid w:val="00183241"/>
    <w:rsid w:val="00193E66"/>
    <w:rsid w:val="00195FE1"/>
    <w:rsid w:val="001B208C"/>
    <w:rsid w:val="001B63FE"/>
    <w:rsid w:val="001C3C55"/>
    <w:rsid w:val="001E562F"/>
    <w:rsid w:val="002046ED"/>
    <w:rsid w:val="00206B37"/>
    <w:rsid w:val="00212B53"/>
    <w:rsid w:val="00221D53"/>
    <w:rsid w:val="00225720"/>
    <w:rsid w:val="00231FE3"/>
    <w:rsid w:val="00236603"/>
    <w:rsid w:val="0024611D"/>
    <w:rsid w:val="00256303"/>
    <w:rsid w:val="00262E48"/>
    <w:rsid w:val="002679BC"/>
    <w:rsid w:val="00275920"/>
    <w:rsid w:val="002B6831"/>
    <w:rsid w:val="002C45AA"/>
    <w:rsid w:val="002C4C9E"/>
    <w:rsid w:val="002D0308"/>
    <w:rsid w:val="002D4862"/>
    <w:rsid w:val="002E0F3F"/>
    <w:rsid w:val="002E26E6"/>
    <w:rsid w:val="002F2E0A"/>
    <w:rsid w:val="0030345F"/>
    <w:rsid w:val="003075EA"/>
    <w:rsid w:val="00314FAE"/>
    <w:rsid w:val="00321CD1"/>
    <w:rsid w:val="003250D5"/>
    <w:rsid w:val="00327C51"/>
    <w:rsid w:val="0035536B"/>
    <w:rsid w:val="00366157"/>
    <w:rsid w:val="00375475"/>
    <w:rsid w:val="003802B2"/>
    <w:rsid w:val="003814B1"/>
    <w:rsid w:val="003855C4"/>
    <w:rsid w:val="003A6A66"/>
    <w:rsid w:val="003B04A9"/>
    <w:rsid w:val="003B2F05"/>
    <w:rsid w:val="003D0CCF"/>
    <w:rsid w:val="003D688A"/>
    <w:rsid w:val="003E2B8A"/>
    <w:rsid w:val="003E3630"/>
    <w:rsid w:val="003E62D5"/>
    <w:rsid w:val="003E646C"/>
    <w:rsid w:val="003F0C50"/>
    <w:rsid w:val="003F0C84"/>
    <w:rsid w:val="00402D44"/>
    <w:rsid w:val="00413E16"/>
    <w:rsid w:val="00420038"/>
    <w:rsid w:val="00421F19"/>
    <w:rsid w:val="0042459F"/>
    <w:rsid w:val="00426D08"/>
    <w:rsid w:val="00427ADA"/>
    <w:rsid w:val="00433A9C"/>
    <w:rsid w:val="00447579"/>
    <w:rsid w:val="004572D2"/>
    <w:rsid w:val="004576B2"/>
    <w:rsid w:val="004A6AA2"/>
    <w:rsid w:val="004B5154"/>
    <w:rsid w:val="004D7622"/>
    <w:rsid w:val="004D7FFA"/>
    <w:rsid w:val="004E3A05"/>
    <w:rsid w:val="00513887"/>
    <w:rsid w:val="00513949"/>
    <w:rsid w:val="005203EB"/>
    <w:rsid w:val="0052180E"/>
    <w:rsid w:val="0052393D"/>
    <w:rsid w:val="005239B1"/>
    <w:rsid w:val="00526EF1"/>
    <w:rsid w:val="00531197"/>
    <w:rsid w:val="0053270B"/>
    <w:rsid w:val="005445A4"/>
    <w:rsid w:val="00564770"/>
    <w:rsid w:val="00581AA9"/>
    <w:rsid w:val="0058786D"/>
    <w:rsid w:val="005917DA"/>
    <w:rsid w:val="005932B1"/>
    <w:rsid w:val="00595F39"/>
    <w:rsid w:val="005A1FFA"/>
    <w:rsid w:val="005A2273"/>
    <w:rsid w:val="005B370E"/>
    <w:rsid w:val="005C3605"/>
    <w:rsid w:val="005D6667"/>
    <w:rsid w:val="005E64BF"/>
    <w:rsid w:val="005F2391"/>
    <w:rsid w:val="005F3E5B"/>
    <w:rsid w:val="005F4C64"/>
    <w:rsid w:val="005F5B2D"/>
    <w:rsid w:val="006238FF"/>
    <w:rsid w:val="006252F1"/>
    <w:rsid w:val="006441F4"/>
    <w:rsid w:val="006523A5"/>
    <w:rsid w:val="0065342F"/>
    <w:rsid w:val="00661C3B"/>
    <w:rsid w:val="00663BB0"/>
    <w:rsid w:val="00671B66"/>
    <w:rsid w:val="00682B5E"/>
    <w:rsid w:val="00685817"/>
    <w:rsid w:val="00694C68"/>
    <w:rsid w:val="006E3532"/>
    <w:rsid w:val="006E597E"/>
    <w:rsid w:val="006F5D04"/>
    <w:rsid w:val="0071113F"/>
    <w:rsid w:val="007123DD"/>
    <w:rsid w:val="007132AE"/>
    <w:rsid w:val="00713ED8"/>
    <w:rsid w:val="00715C94"/>
    <w:rsid w:val="00725823"/>
    <w:rsid w:val="007341A6"/>
    <w:rsid w:val="00757B52"/>
    <w:rsid w:val="00773450"/>
    <w:rsid w:val="00773674"/>
    <w:rsid w:val="007769E9"/>
    <w:rsid w:val="007770D4"/>
    <w:rsid w:val="007825A7"/>
    <w:rsid w:val="007868F9"/>
    <w:rsid w:val="007B557F"/>
    <w:rsid w:val="007C69D4"/>
    <w:rsid w:val="007C7D0F"/>
    <w:rsid w:val="007D11B8"/>
    <w:rsid w:val="007D42B2"/>
    <w:rsid w:val="007E25A4"/>
    <w:rsid w:val="007E4AEE"/>
    <w:rsid w:val="00810F8E"/>
    <w:rsid w:val="00813BFA"/>
    <w:rsid w:val="00827CEF"/>
    <w:rsid w:val="008433D9"/>
    <w:rsid w:val="00843E91"/>
    <w:rsid w:val="00852920"/>
    <w:rsid w:val="0085330E"/>
    <w:rsid w:val="00853A01"/>
    <w:rsid w:val="008557EF"/>
    <w:rsid w:val="00855A0A"/>
    <w:rsid w:val="00860E31"/>
    <w:rsid w:val="00881834"/>
    <w:rsid w:val="00897FBF"/>
    <w:rsid w:val="008A4E11"/>
    <w:rsid w:val="008B4155"/>
    <w:rsid w:val="008B78B6"/>
    <w:rsid w:val="008E3377"/>
    <w:rsid w:val="008F1DCB"/>
    <w:rsid w:val="008F694A"/>
    <w:rsid w:val="00903E25"/>
    <w:rsid w:val="00910C5C"/>
    <w:rsid w:val="00911690"/>
    <w:rsid w:val="009432D3"/>
    <w:rsid w:val="00950D1E"/>
    <w:rsid w:val="009542F2"/>
    <w:rsid w:val="00954452"/>
    <w:rsid w:val="009763DF"/>
    <w:rsid w:val="009805F5"/>
    <w:rsid w:val="0098579C"/>
    <w:rsid w:val="00986775"/>
    <w:rsid w:val="009A11E2"/>
    <w:rsid w:val="009A4DB6"/>
    <w:rsid w:val="009B35A7"/>
    <w:rsid w:val="009B7C2B"/>
    <w:rsid w:val="009C598A"/>
    <w:rsid w:val="009D467F"/>
    <w:rsid w:val="009E080C"/>
    <w:rsid w:val="009E2F4B"/>
    <w:rsid w:val="00A02C6A"/>
    <w:rsid w:val="00A07C00"/>
    <w:rsid w:val="00A11759"/>
    <w:rsid w:val="00A17DE8"/>
    <w:rsid w:val="00A24264"/>
    <w:rsid w:val="00A30019"/>
    <w:rsid w:val="00A305D3"/>
    <w:rsid w:val="00A40616"/>
    <w:rsid w:val="00A434FC"/>
    <w:rsid w:val="00A43B58"/>
    <w:rsid w:val="00A5365A"/>
    <w:rsid w:val="00A5388B"/>
    <w:rsid w:val="00A54DB1"/>
    <w:rsid w:val="00A729A5"/>
    <w:rsid w:val="00A72DCD"/>
    <w:rsid w:val="00A74BBD"/>
    <w:rsid w:val="00A77260"/>
    <w:rsid w:val="00A87301"/>
    <w:rsid w:val="00A922E3"/>
    <w:rsid w:val="00A927BC"/>
    <w:rsid w:val="00A94DD5"/>
    <w:rsid w:val="00AB15C1"/>
    <w:rsid w:val="00AC5973"/>
    <w:rsid w:val="00AC7235"/>
    <w:rsid w:val="00AC756C"/>
    <w:rsid w:val="00AD7EBC"/>
    <w:rsid w:val="00AD7FA8"/>
    <w:rsid w:val="00B10443"/>
    <w:rsid w:val="00B11006"/>
    <w:rsid w:val="00B1149C"/>
    <w:rsid w:val="00B23037"/>
    <w:rsid w:val="00B23DE5"/>
    <w:rsid w:val="00B2404B"/>
    <w:rsid w:val="00B46E19"/>
    <w:rsid w:val="00B72D81"/>
    <w:rsid w:val="00B76FB0"/>
    <w:rsid w:val="00B80445"/>
    <w:rsid w:val="00BA1AE6"/>
    <w:rsid w:val="00BA54C4"/>
    <w:rsid w:val="00BA6250"/>
    <w:rsid w:val="00BB3B7E"/>
    <w:rsid w:val="00BB7497"/>
    <w:rsid w:val="00BC0501"/>
    <w:rsid w:val="00BC1642"/>
    <w:rsid w:val="00BC5F72"/>
    <w:rsid w:val="00BD3BE2"/>
    <w:rsid w:val="00BD4C5A"/>
    <w:rsid w:val="00BE1AFB"/>
    <w:rsid w:val="00BF2408"/>
    <w:rsid w:val="00BF4286"/>
    <w:rsid w:val="00C004FB"/>
    <w:rsid w:val="00C21EEA"/>
    <w:rsid w:val="00C36D66"/>
    <w:rsid w:val="00C57FDA"/>
    <w:rsid w:val="00C61AC2"/>
    <w:rsid w:val="00C62891"/>
    <w:rsid w:val="00C660B3"/>
    <w:rsid w:val="00C67C2C"/>
    <w:rsid w:val="00C72CE0"/>
    <w:rsid w:val="00C74C0D"/>
    <w:rsid w:val="00C807A2"/>
    <w:rsid w:val="00C84F34"/>
    <w:rsid w:val="00C93F33"/>
    <w:rsid w:val="00CA23A6"/>
    <w:rsid w:val="00CA610E"/>
    <w:rsid w:val="00CC2191"/>
    <w:rsid w:val="00CF1701"/>
    <w:rsid w:val="00D02D61"/>
    <w:rsid w:val="00D0708C"/>
    <w:rsid w:val="00D07E72"/>
    <w:rsid w:val="00D33171"/>
    <w:rsid w:val="00D36BB1"/>
    <w:rsid w:val="00D676E6"/>
    <w:rsid w:val="00D73A30"/>
    <w:rsid w:val="00D8588C"/>
    <w:rsid w:val="00DC32DA"/>
    <w:rsid w:val="00DC709E"/>
    <w:rsid w:val="00DD0D2B"/>
    <w:rsid w:val="00DF559F"/>
    <w:rsid w:val="00E059D1"/>
    <w:rsid w:val="00E07B2F"/>
    <w:rsid w:val="00E1182F"/>
    <w:rsid w:val="00E12828"/>
    <w:rsid w:val="00E377A5"/>
    <w:rsid w:val="00E653A4"/>
    <w:rsid w:val="00E7638C"/>
    <w:rsid w:val="00E92EDC"/>
    <w:rsid w:val="00EA24D5"/>
    <w:rsid w:val="00EB004C"/>
    <w:rsid w:val="00EB6B91"/>
    <w:rsid w:val="00EB76F1"/>
    <w:rsid w:val="00EC3C89"/>
    <w:rsid w:val="00ED012E"/>
    <w:rsid w:val="00EE48E3"/>
    <w:rsid w:val="00EE6D41"/>
    <w:rsid w:val="00F001B6"/>
    <w:rsid w:val="00F064CD"/>
    <w:rsid w:val="00F06710"/>
    <w:rsid w:val="00F11A6C"/>
    <w:rsid w:val="00F45684"/>
    <w:rsid w:val="00F47458"/>
    <w:rsid w:val="00F54E78"/>
    <w:rsid w:val="00F630F1"/>
    <w:rsid w:val="00F843EB"/>
    <w:rsid w:val="00F845D4"/>
    <w:rsid w:val="00F918A6"/>
    <w:rsid w:val="00F96188"/>
    <w:rsid w:val="00FA6FA3"/>
    <w:rsid w:val="00FB373E"/>
    <w:rsid w:val="00FB3856"/>
    <w:rsid w:val="00FB628E"/>
    <w:rsid w:val="00FC11CD"/>
    <w:rsid w:val="00FD33D1"/>
    <w:rsid w:val="00FE1A3B"/>
    <w:rsid w:val="00FE490E"/>
    <w:rsid w:val="00FE6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80DFD"/>
  <w15:docId w15:val="{8420C47E-21A5-A842-92AF-1AAD8562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523A5"/>
    <w:pPr>
      <w:widowControl w:val="0"/>
      <w:spacing w:after="0" w:line="240" w:lineRule="auto"/>
    </w:pPr>
    <w:rPr>
      <w:rFonts w:ascii="Arial" w:eastAsia="Arial" w:hAnsi="Arial" w:cs="Arial"/>
    </w:rPr>
  </w:style>
  <w:style w:type="paragraph" w:styleId="Heading1">
    <w:name w:val="heading 1"/>
    <w:basedOn w:val="Normal"/>
    <w:link w:val="Heading1Char"/>
    <w:uiPriority w:val="1"/>
    <w:qFormat/>
    <w:rsid w:val="007C7D0F"/>
    <w:pPr>
      <w:spacing w:before="36"/>
      <w:ind w:left="100"/>
      <w:outlineLvl w:val="0"/>
    </w:pPr>
    <w:rPr>
      <w:b/>
      <w:bCs/>
      <w:sz w:val="40"/>
      <w:szCs w:val="40"/>
    </w:rPr>
  </w:style>
  <w:style w:type="paragraph" w:styleId="Heading2">
    <w:name w:val="heading 2"/>
    <w:basedOn w:val="ListParagraph"/>
    <w:next w:val="Normal"/>
    <w:link w:val="Heading2Char"/>
    <w:uiPriority w:val="9"/>
    <w:unhideWhenUsed/>
    <w:qFormat/>
    <w:rsid w:val="00C21EEA"/>
    <w:pPr>
      <w:numPr>
        <w:numId w:val="12"/>
      </w:numPr>
      <w:tabs>
        <w:tab w:val="left" w:pos="461"/>
      </w:tabs>
      <w:ind w:left="360"/>
      <w:jc w:val="both"/>
      <w:outlineLvl w:val="1"/>
    </w:pPr>
    <w:rPr>
      <w:b/>
      <w:color w:val="1F487C"/>
      <w:lang w:val="en-GB"/>
    </w:rPr>
  </w:style>
  <w:style w:type="paragraph" w:styleId="Heading3">
    <w:name w:val="heading 3"/>
    <w:basedOn w:val="ListParagraph"/>
    <w:next w:val="Normal"/>
    <w:link w:val="Heading3Char"/>
    <w:uiPriority w:val="9"/>
    <w:unhideWhenUsed/>
    <w:qFormat/>
    <w:rsid w:val="00A927BC"/>
    <w:pPr>
      <w:tabs>
        <w:tab w:val="left" w:pos="473"/>
      </w:tabs>
      <w:spacing w:before="1"/>
      <w:ind w:left="0" w:firstLine="0"/>
      <w:jc w:val="both"/>
      <w:outlineLvl w:val="2"/>
    </w:pPr>
    <w:rPr>
      <w:color w:val="1F487C"/>
      <w:lang w:val="en-GB"/>
    </w:rPr>
  </w:style>
  <w:style w:type="paragraph" w:styleId="Heading4">
    <w:name w:val="heading 4"/>
    <w:basedOn w:val="Normal"/>
    <w:next w:val="Normal"/>
    <w:link w:val="Heading4Char"/>
    <w:uiPriority w:val="9"/>
    <w:unhideWhenUsed/>
    <w:qFormat/>
    <w:rsid w:val="00A300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7D0F"/>
    <w:rPr>
      <w:rFonts w:ascii="Arial" w:eastAsia="Arial" w:hAnsi="Arial" w:cs="Arial"/>
      <w:b/>
      <w:bCs/>
      <w:sz w:val="40"/>
      <w:szCs w:val="40"/>
    </w:rPr>
  </w:style>
  <w:style w:type="paragraph" w:styleId="BodyText">
    <w:name w:val="Body Text"/>
    <w:basedOn w:val="Normal"/>
    <w:link w:val="BodyTextChar"/>
    <w:uiPriority w:val="1"/>
    <w:qFormat/>
    <w:rsid w:val="007C7D0F"/>
  </w:style>
  <w:style w:type="character" w:customStyle="1" w:styleId="BodyTextChar">
    <w:name w:val="Body Text Char"/>
    <w:basedOn w:val="DefaultParagraphFont"/>
    <w:link w:val="BodyText"/>
    <w:uiPriority w:val="1"/>
    <w:rsid w:val="007C7D0F"/>
    <w:rPr>
      <w:rFonts w:ascii="Arial" w:eastAsia="Arial" w:hAnsi="Arial" w:cs="Arial"/>
    </w:rPr>
  </w:style>
  <w:style w:type="paragraph" w:styleId="ListParagraph">
    <w:name w:val="List Paragraph"/>
    <w:aliases w:val="Dot pt,F5 List Paragraph,List Paragraph1,No Spacing1,List Paragraph Char Char Char,Indicator Text,Numbered Para 1,List Paragraph12,Bullet Points,MAIN CONTENT,List Paragraph11,List Paragraph2,OBC Bullet,L,Bullets"/>
    <w:basedOn w:val="Normal"/>
    <w:link w:val="ListParagraphChar"/>
    <w:uiPriority w:val="34"/>
    <w:qFormat/>
    <w:rsid w:val="007C7D0F"/>
    <w:pPr>
      <w:ind w:left="458" w:hanging="358"/>
    </w:pPr>
  </w:style>
  <w:style w:type="paragraph" w:customStyle="1" w:styleId="TableParagraph">
    <w:name w:val="Table Paragraph"/>
    <w:basedOn w:val="Normal"/>
    <w:uiPriority w:val="1"/>
    <w:qFormat/>
    <w:rsid w:val="007C7D0F"/>
    <w:pPr>
      <w:ind w:left="103"/>
    </w:pPr>
  </w:style>
  <w:style w:type="paragraph" w:styleId="FootnoteText">
    <w:name w:val="footnote text"/>
    <w:basedOn w:val="Normal"/>
    <w:link w:val="FootnoteTextChar"/>
    <w:uiPriority w:val="99"/>
    <w:unhideWhenUsed/>
    <w:rsid w:val="00B23DE5"/>
    <w:rPr>
      <w:sz w:val="20"/>
      <w:szCs w:val="20"/>
    </w:rPr>
  </w:style>
  <w:style w:type="character" w:customStyle="1" w:styleId="FootnoteTextChar">
    <w:name w:val="Footnote Text Char"/>
    <w:basedOn w:val="DefaultParagraphFont"/>
    <w:link w:val="FootnoteText"/>
    <w:uiPriority w:val="99"/>
    <w:rsid w:val="00B23DE5"/>
    <w:rPr>
      <w:rFonts w:ascii="Arial" w:eastAsia="Arial" w:hAnsi="Arial" w:cs="Arial"/>
      <w:sz w:val="20"/>
      <w:szCs w:val="20"/>
    </w:rPr>
  </w:style>
  <w:style w:type="character" w:styleId="FootnoteReference">
    <w:name w:val="footnote reference"/>
    <w:aliases w:val="Footnote text,16 Point,Superscript 6 Point,ftref"/>
    <w:basedOn w:val="DefaultParagraphFont"/>
    <w:uiPriority w:val="99"/>
    <w:unhideWhenUsed/>
    <w:rsid w:val="00B23DE5"/>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List Paragraph12 Char,Bullet Points Char,MAIN CONTENT Char,List Paragraph11 Char"/>
    <w:link w:val="ListParagraph"/>
    <w:uiPriority w:val="1"/>
    <w:qFormat/>
    <w:locked/>
    <w:rsid w:val="007341A6"/>
    <w:rPr>
      <w:rFonts w:ascii="Arial" w:eastAsia="Arial" w:hAnsi="Arial" w:cs="Arial"/>
    </w:rPr>
  </w:style>
  <w:style w:type="table" w:styleId="TableGrid">
    <w:name w:val="Table Grid"/>
    <w:basedOn w:val="TableNormal"/>
    <w:uiPriority w:val="39"/>
    <w:rsid w:val="005F5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3674"/>
    <w:rPr>
      <w:sz w:val="16"/>
      <w:szCs w:val="16"/>
    </w:rPr>
  </w:style>
  <w:style w:type="paragraph" w:styleId="CommentText">
    <w:name w:val="annotation text"/>
    <w:basedOn w:val="Normal"/>
    <w:link w:val="CommentTextChar"/>
    <w:uiPriority w:val="99"/>
    <w:semiHidden/>
    <w:unhideWhenUsed/>
    <w:rsid w:val="00773674"/>
    <w:rPr>
      <w:sz w:val="20"/>
      <w:szCs w:val="20"/>
    </w:rPr>
  </w:style>
  <w:style w:type="character" w:customStyle="1" w:styleId="CommentTextChar">
    <w:name w:val="Comment Text Char"/>
    <w:basedOn w:val="DefaultParagraphFont"/>
    <w:link w:val="CommentText"/>
    <w:uiPriority w:val="99"/>
    <w:semiHidden/>
    <w:rsid w:val="0077367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73674"/>
    <w:rPr>
      <w:b/>
      <w:bCs/>
    </w:rPr>
  </w:style>
  <w:style w:type="character" w:customStyle="1" w:styleId="CommentSubjectChar">
    <w:name w:val="Comment Subject Char"/>
    <w:basedOn w:val="CommentTextChar"/>
    <w:link w:val="CommentSubject"/>
    <w:uiPriority w:val="99"/>
    <w:semiHidden/>
    <w:rsid w:val="00773674"/>
    <w:rPr>
      <w:rFonts w:ascii="Arial" w:eastAsia="Arial" w:hAnsi="Arial" w:cs="Arial"/>
      <w:b/>
      <w:bCs/>
      <w:sz w:val="20"/>
      <w:szCs w:val="20"/>
    </w:rPr>
  </w:style>
  <w:style w:type="paragraph" w:styleId="BalloonText">
    <w:name w:val="Balloon Text"/>
    <w:basedOn w:val="Normal"/>
    <w:link w:val="BalloonTextChar"/>
    <w:uiPriority w:val="99"/>
    <w:semiHidden/>
    <w:unhideWhenUsed/>
    <w:rsid w:val="00773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674"/>
    <w:rPr>
      <w:rFonts w:ascii="Segoe UI" w:eastAsia="Arial" w:hAnsi="Segoe UI" w:cs="Segoe UI"/>
      <w:sz w:val="18"/>
      <w:szCs w:val="18"/>
    </w:rPr>
  </w:style>
  <w:style w:type="paragraph" w:styleId="Header">
    <w:name w:val="header"/>
    <w:basedOn w:val="Normal"/>
    <w:link w:val="HeaderChar"/>
    <w:uiPriority w:val="99"/>
    <w:unhideWhenUsed/>
    <w:rsid w:val="008433D9"/>
    <w:pPr>
      <w:tabs>
        <w:tab w:val="center" w:pos="4513"/>
        <w:tab w:val="right" w:pos="9026"/>
      </w:tabs>
    </w:pPr>
  </w:style>
  <w:style w:type="character" w:customStyle="1" w:styleId="HeaderChar">
    <w:name w:val="Header Char"/>
    <w:basedOn w:val="DefaultParagraphFont"/>
    <w:link w:val="Header"/>
    <w:uiPriority w:val="99"/>
    <w:rsid w:val="008433D9"/>
    <w:rPr>
      <w:rFonts w:ascii="Arial" w:eastAsia="Arial" w:hAnsi="Arial" w:cs="Arial"/>
    </w:rPr>
  </w:style>
  <w:style w:type="paragraph" w:styleId="Footer">
    <w:name w:val="footer"/>
    <w:basedOn w:val="Normal"/>
    <w:link w:val="FooterChar"/>
    <w:uiPriority w:val="99"/>
    <w:unhideWhenUsed/>
    <w:rsid w:val="008433D9"/>
    <w:pPr>
      <w:tabs>
        <w:tab w:val="center" w:pos="4513"/>
        <w:tab w:val="right" w:pos="9026"/>
      </w:tabs>
    </w:pPr>
  </w:style>
  <w:style w:type="character" w:customStyle="1" w:styleId="FooterChar">
    <w:name w:val="Footer Char"/>
    <w:basedOn w:val="DefaultParagraphFont"/>
    <w:link w:val="Footer"/>
    <w:uiPriority w:val="99"/>
    <w:rsid w:val="008433D9"/>
    <w:rPr>
      <w:rFonts w:ascii="Arial" w:eastAsia="Arial" w:hAnsi="Arial" w:cs="Arial"/>
    </w:rPr>
  </w:style>
  <w:style w:type="table" w:customStyle="1" w:styleId="PlainTable11">
    <w:name w:val="Plain Table 11"/>
    <w:basedOn w:val="TableNormal"/>
    <w:uiPriority w:val="41"/>
    <w:rsid w:val="00AC59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C21EEA"/>
    <w:rPr>
      <w:rFonts w:ascii="Arial" w:eastAsia="Arial" w:hAnsi="Arial" w:cs="Arial"/>
      <w:b/>
      <w:color w:val="1F487C"/>
      <w:lang w:val="en-GB"/>
    </w:rPr>
  </w:style>
  <w:style w:type="table" w:customStyle="1" w:styleId="ListTable3-Accent11">
    <w:name w:val="List Table 3 - Accent 11"/>
    <w:aliases w:val="SCUK Table"/>
    <w:basedOn w:val="TableNormal"/>
    <w:uiPriority w:val="48"/>
    <w:rsid w:val="00682B5E"/>
    <w:pPr>
      <w:spacing w:after="0" w:line="240" w:lineRule="auto"/>
      <w:contextualSpacing/>
    </w:pPr>
    <w:rPr>
      <w:lang w:val="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57" w:type="dxa"/>
        <w:left w:w="57" w:type="dxa"/>
        <w:bottom w:w="57" w:type="dxa"/>
        <w:right w:w="57" w:type="dxa"/>
      </w:tblCellMar>
    </w:tblPr>
    <w:tblStylePr w:type="firstRow">
      <w:rPr>
        <w:rFonts w:asciiTheme="minorHAnsi" w:hAnsiTheme="minorHAnsi"/>
        <w:b/>
        <w:bCs/>
        <w:color w:val="44546A" w:themeColor="text2"/>
        <w:sz w:val="22"/>
      </w:rPr>
      <w:tblPr/>
      <w:tcPr>
        <w:shd w:val="clear" w:color="auto" w:fill="E7E6E6" w:themeFill="background2"/>
      </w:tcPr>
    </w:tblStylePr>
    <w:tblStylePr w:type="lastRow">
      <w:rPr>
        <w:b/>
        <w:bCs/>
      </w:rPr>
      <w:tblPr/>
      <w:tcPr>
        <w:tcBorders>
          <w:top w:val="double" w:sz="4" w:space="0" w:color="4472C4"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Hyperlink">
    <w:name w:val="Hyperlink"/>
    <w:uiPriority w:val="99"/>
    <w:unhideWhenUsed/>
    <w:rsid w:val="00682B5E"/>
    <w:rPr>
      <w:color w:val="0000FF"/>
      <w:u w:val="single"/>
    </w:rPr>
  </w:style>
  <w:style w:type="table" w:styleId="PlainTable1">
    <w:name w:val="Plain Table 1"/>
    <w:basedOn w:val="TableNormal"/>
    <w:uiPriority w:val="99"/>
    <w:rsid w:val="00BC050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A927BC"/>
    <w:rPr>
      <w:rFonts w:ascii="Arial" w:eastAsia="Arial" w:hAnsi="Arial" w:cs="Arial"/>
      <w:color w:val="1F487C"/>
      <w:lang w:val="en-GB"/>
    </w:rPr>
  </w:style>
  <w:style w:type="paragraph" w:styleId="TOCHeading">
    <w:name w:val="TOC Heading"/>
    <w:basedOn w:val="Heading1"/>
    <w:next w:val="Normal"/>
    <w:uiPriority w:val="39"/>
    <w:unhideWhenUsed/>
    <w:qFormat/>
    <w:rsid w:val="00581AA9"/>
    <w:pPr>
      <w:keepNext/>
      <w:keepLines/>
      <w:widowControl/>
      <w:spacing w:before="480" w:line="276" w:lineRule="auto"/>
      <w:ind w:left="0"/>
      <w:outlineLvl w:val="9"/>
    </w:pPr>
    <w:rPr>
      <w:rFonts w:asciiTheme="majorHAnsi" w:eastAsiaTheme="majorEastAsia" w:hAnsiTheme="majorHAnsi" w:cstheme="majorBidi"/>
      <w:color w:val="2F5496" w:themeColor="accent1" w:themeShade="BF"/>
      <w:sz w:val="28"/>
      <w:szCs w:val="28"/>
    </w:rPr>
  </w:style>
  <w:style w:type="paragraph" w:styleId="TOC1">
    <w:name w:val="toc 1"/>
    <w:basedOn w:val="Normal"/>
    <w:next w:val="Normal"/>
    <w:autoRedefine/>
    <w:uiPriority w:val="39"/>
    <w:unhideWhenUsed/>
    <w:rsid w:val="00581AA9"/>
    <w:pPr>
      <w:spacing w:after="100"/>
    </w:pPr>
  </w:style>
  <w:style w:type="paragraph" w:styleId="TOC2">
    <w:name w:val="toc 2"/>
    <w:basedOn w:val="Normal"/>
    <w:next w:val="Normal"/>
    <w:autoRedefine/>
    <w:uiPriority w:val="39"/>
    <w:unhideWhenUsed/>
    <w:rsid w:val="00581AA9"/>
    <w:pPr>
      <w:spacing w:after="100"/>
      <w:ind w:left="220"/>
    </w:pPr>
  </w:style>
  <w:style w:type="paragraph" w:styleId="TOC3">
    <w:name w:val="toc 3"/>
    <w:basedOn w:val="Normal"/>
    <w:next w:val="Normal"/>
    <w:autoRedefine/>
    <w:uiPriority w:val="39"/>
    <w:unhideWhenUsed/>
    <w:rsid w:val="00581AA9"/>
    <w:pPr>
      <w:spacing w:after="100"/>
      <w:ind w:left="440"/>
    </w:pPr>
  </w:style>
  <w:style w:type="character" w:customStyle="1" w:styleId="Heading4Char">
    <w:name w:val="Heading 4 Char"/>
    <w:basedOn w:val="DefaultParagraphFont"/>
    <w:link w:val="Heading4"/>
    <w:uiPriority w:val="9"/>
    <w:rsid w:val="00A3001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fr/url?sa=i&amp;rct=j&amp;q=&amp;esrc=s&amp;source=images&amp;cd=&amp;cad=rja&amp;uact=8&amp;ved=0ahUKEwiU5o3tvI7YAhWBcRQKHbR6CuIQjRwIBw&amp;url=https://en.wikipedia.org/wiki/World_Vision_International&amp;psig=AOvVaw1oxF6D2MfjvB67Npj2BP-I&amp;ust=151351175250643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dr.undp.org/sites/all/themes/hdr_theme/country-notes/CO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1B39F-EF4C-FE47-ABE5-29E08BE5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50</Pages>
  <Words>16923</Words>
  <Characters>96466</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Patrick Mroz-Dawes</cp:lastModifiedBy>
  <cp:revision>48</cp:revision>
  <dcterms:created xsi:type="dcterms:W3CDTF">2018-02-09T19:26:00Z</dcterms:created>
  <dcterms:modified xsi:type="dcterms:W3CDTF">2018-02-12T12:49:00Z</dcterms:modified>
</cp:coreProperties>
</file>